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cs="Calibri" w:cstheme="minorHAnsi"/>
          <w:b/>
          <w:b/>
          <w:sz w:val="56"/>
          <w:szCs w:val="56"/>
        </w:rPr>
      </w:pPr>
      <w:r>
        <w:rPr/>
        <w:drawing>
          <wp:inline distT="0" distB="0" distL="0" distR="0">
            <wp:extent cx="2152650" cy="668020"/>
            <wp:effectExtent l="0" t="0" r="0" b="0"/>
            <wp:docPr id="1" name="Kuv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
                    <pic:cNvPicPr>
                      <a:picLocks noChangeAspect="1" noChangeArrowheads="1"/>
                    </pic:cNvPicPr>
                  </pic:nvPicPr>
                  <pic:blipFill>
                    <a:blip r:embed="rId2"/>
                    <a:stretch>
                      <a:fillRect/>
                    </a:stretch>
                  </pic:blipFill>
                  <pic:spPr bwMode="auto">
                    <a:xfrm>
                      <a:off x="0" y="0"/>
                      <a:ext cx="2152650" cy="668020"/>
                    </a:xfrm>
                    <a:prstGeom prst="rect">
                      <a:avLst/>
                    </a:prstGeom>
                  </pic:spPr>
                </pic:pic>
              </a:graphicData>
            </a:graphic>
          </wp:inline>
        </w:drawing>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center"/>
        <w:rPr>
          <w:rFonts w:cs="Calibri" w:cstheme="minorHAnsi"/>
          <w:b/>
          <w:b/>
          <w:sz w:val="56"/>
          <w:szCs w:val="56"/>
        </w:rPr>
      </w:pPr>
      <w:r>
        <w:rPr>
          <w:rFonts w:cs="Calibri" w:cstheme="minorHAnsi"/>
          <w:b/>
          <w:sz w:val="56"/>
          <w:szCs w:val="56"/>
        </w:rPr>
      </w:r>
    </w:p>
    <w:p>
      <w:pPr>
        <w:pStyle w:val="Normal"/>
        <w:jc w:val="center"/>
        <w:rPr>
          <w:rFonts w:cs="Arial"/>
          <w:color w:val="ED7D31" w:themeColor="accent2"/>
          <w:sz w:val="28"/>
          <w:szCs w:val="56"/>
        </w:rPr>
      </w:pPr>
      <w:r>
        <w:rPr>
          <w:rFonts w:cs="Arial"/>
          <w:color w:val="ED7D31" w:themeColor="accent2"/>
          <w:sz w:val="52"/>
          <w:szCs w:val="56"/>
        </w:rPr>
        <w:t>Pelastussuunnitelma</w:t>
      </w:r>
    </w:p>
    <w:p>
      <w:pPr>
        <w:pStyle w:val="Normal"/>
        <w:rPr>
          <w:rFonts w:cs="Arial"/>
          <w:sz w:val="96"/>
          <w:szCs w:val="56"/>
        </w:rPr>
      </w:pPr>
      <w:r>
        <w:rPr>
          <w:rFonts w:cs="Arial"/>
          <w:sz w:val="96"/>
          <w:szCs w:val="56"/>
        </w:rPr>
        <w:t xml:space="preserve">        </w:t>
      </w:r>
      <w:r>
        <w:rPr>
          <w:rFonts w:cs="Arial"/>
          <w:sz w:val="96"/>
          <w:szCs w:val="56"/>
        </w:rPr>
        <w:t>SEINÄJOEN</w:t>
      </w:r>
    </w:p>
    <w:p>
      <w:pPr>
        <w:pStyle w:val="Normal"/>
        <w:rPr>
          <w:rFonts w:cs="Arial"/>
          <w:sz w:val="96"/>
          <w:szCs w:val="56"/>
        </w:rPr>
      </w:pPr>
      <w:r>
        <w:rPr>
          <w:rFonts w:cs="Arial"/>
          <w:sz w:val="96"/>
          <w:szCs w:val="56"/>
        </w:rPr>
        <w:t xml:space="preserve">        </w:t>
      </w:r>
      <w:r>
        <w:rPr>
          <w:rFonts w:cs="Arial"/>
          <w:sz w:val="96"/>
          <w:szCs w:val="56"/>
        </w:rPr>
        <w:t>KANSALLISET</w:t>
      </w:r>
    </w:p>
    <w:p>
      <w:pPr>
        <w:pStyle w:val="Normal"/>
        <w:ind w:left="1304" w:hanging="0"/>
        <w:rPr>
          <w:rFonts w:cs="Arial"/>
          <w:sz w:val="96"/>
          <w:szCs w:val="56"/>
        </w:rPr>
      </w:pPr>
      <w:r>
        <w:rPr>
          <w:rFonts w:cs="Arial"/>
          <w:sz w:val="96"/>
          <w:szCs w:val="56"/>
        </w:rPr>
        <w:t>AMPUMAHIIHDOT</w:t>
      </w:r>
    </w:p>
    <w:p>
      <w:pPr>
        <w:pStyle w:val="Normal"/>
        <w:ind w:left="1304" w:hanging="0"/>
        <w:rPr>
          <w:rFonts w:cs="Arial"/>
          <w:sz w:val="28"/>
        </w:rPr>
      </w:pPr>
      <w:r>
        <w:rPr>
          <w:rFonts w:cs="Arial"/>
          <w:sz w:val="96"/>
          <w:szCs w:val="56"/>
        </w:rPr>
        <w:t xml:space="preserve">     </w:t>
      </w:r>
      <w:r>
        <w:rPr>
          <w:rFonts w:cs="Arial"/>
          <w:sz w:val="96"/>
          <w:szCs w:val="56"/>
        </w:rPr>
        <w:t xml:space="preserve">14 -15.1.2023  </w:t>
      </w:r>
    </w:p>
    <w:p>
      <w:pPr>
        <w:pStyle w:val="Normal"/>
        <w:jc w:val="center"/>
        <w:rPr>
          <w:rFonts w:cs="Arial"/>
          <w:sz w:val="22"/>
        </w:rPr>
      </w:pPr>
      <w:r>
        <w:rPr>
          <w:rFonts w:cs="Arial"/>
          <w:sz w:val="22"/>
        </w:rPr>
      </w:r>
    </w:p>
    <w:p>
      <w:pPr>
        <w:pStyle w:val="Normal"/>
        <w:jc w:val="center"/>
        <w:rPr>
          <w:rFonts w:cs="Arial"/>
          <w:sz w:val="22"/>
        </w:rPr>
      </w:pPr>
      <w:r>
        <w:rPr>
          <w:rFonts w:cs="Arial"/>
          <w:sz w:val="22"/>
        </w:rPr>
      </w:r>
    </w:p>
    <w:p>
      <w:pPr>
        <w:pStyle w:val="Normal"/>
        <w:jc w:val="center"/>
        <w:rPr>
          <w:rFonts w:cs="Arial"/>
          <w:color w:val="595959" w:themeColor="text1" w:themeTint="a6"/>
        </w:rPr>
      </w:pPr>
      <w:r>
        <w:rPr>
          <w:rFonts w:cs="Arial"/>
          <w:color w:val="595959" w:themeColor="text1" w:themeTint="a6"/>
        </w:rPr>
      </w:r>
    </w:p>
    <w:p>
      <w:pPr>
        <w:pStyle w:val="Normal"/>
        <w:jc w:val="center"/>
        <w:rPr>
          <w:rFonts w:cs="Arial"/>
          <w:color w:val="595959" w:themeColor="text1" w:themeTint="a6"/>
        </w:rPr>
      </w:pPr>
      <w:r>
        <w:rPr>
          <w:rFonts w:cs="Arial"/>
          <w:color w:val="595959" w:themeColor="text1" w:themeTint="a6"/>
        </w:rPr>
      </w:r>
    </w:p>
    <w:p>
      <w:pPr>
        <w:pStyle w:val="Normal"/>
        <w:rPr/>
      </w:pPr>
      <w:r>
        <w:rPr/>
      </w:r>
      <w:r>
        <w:br w:type="page"/>
      </w:r>
    </w:p>
    <w:p>
      <w:pPr>
        <w:pStyle w:val="Otsikko1"/>
        <w:numPr>
          <w:ilvl w:val="0"/>
          <w:numId w:val="1"/>
        </w:numPr>
        <w:ind w:left="360" w:hanging="360"/>
        <w:rPr/>
      </w:pPr>
      <w:bookmarkStart w:id="0" w:name="_Toc387754663"/>
      <w:bookmarkStart w:id="1" w:name="_Toc387747993"/>
      <w:r>
        <w:rPr/>
        <w:t>Suunnitelman tarkoitus</w:t>
      </w:r>
      <w:bookmarkEnd w:id="0"/>
      <w:bookmarkEnd w:id="1"/>
    </w:p>
    <w:p>
      <w:pPr>
        <w:pStyle w:val="Normal"/>
        <w:jc w:val="both"/>
        <w:rPr>
          <w:rFonts w:cs="Arial"/>
          <w:szCs w:val="24"/>
        </w:rPr>
      </w:pPr>
      <w:r>
        <w:rPr>
          <w:rFonts w:cs="Arial"/>
          <w:szCs w:val="24"/>
        </w:rPr>
      </w:r>
    </w:p>
    <w:p>
      <w:pPr>
        <w:pStyle w:val="Normal"/>
        <w:jc w:val="both"/>
        <w:rPr>
          <w:rFonts w:cs="Arial"/>
          <w:sz w:val="22"/>
        </w:rPr>
      </w:pPr>
      <w:r>
        <w:rPr>
          <w:rFonts w:cs="Arial"/>
          <w:sz w:val="22"/>
        </w:rPr>
        <w:t>Tämän pelastussuunnitelman tarkoitus on ohjata tapahtuman toimeenpanoon osallistuvaa henkilökuntaa turvallisuusasioissa sekä selkeyttää turvallisuuden vastuita ja velvoitteita.</w:t>
      </w:r>
    </w:p>
    <w:p>
      <w:pPr>
        <w:pStyle w:val="Normal"/>
        <w:jc w:val="both"/>
        <w:rPr>
          <w:rFonts w:cs="Arial"/>
          <w:sz w:val="22"/>
        </w:rPr>
      </w:pPr>
      <w:r>
        <w:rPr>
          <w:rFonts w:cs="Arial"/>
          <w:sz w:val="22"/>
        </w:rPr>
      </w:r>
    </w:p>
    <w:p>
      <w:pPr>
        <w:pStyle w:val="Normal"/>
        <w:jc w:val="both"/>
        <w:rPr>
          <w:rFonts w:cs="Arial"/>
          <w:sz w:val="22"/>
        </w:rPr>
      </w:pPr>
      <w:r>
        <w:rPr>
          <w:rFonts w:cs="Arial"/>
          <w:sz w:val="22"/>
        </w:rPr>
        <w:t>Tämän yleisötapahtuman toimeenpanoon osallistuvat tahot sitoutuvat noudattamaan pelastussuunnitelmaa ja parantamaan sen avulla kaikkien yhteistä turvallisuutta!</w:t>
      </w:r>
    </w:p>
    <w:p>
      <w:pPr>
        <w:pStyle w:val="Normal"/>
        <w:jc w:val="both"/>
        <w:rPr>
          <w:rFonts w:cs="Arial"/>
          <w:szCs w:val="24"/>
        </w:rPr>
      </w:pPr>
      <w:r>
        <w:rPr>
          <w:rFonts w:cs="Arial"/>
          <w:szCs w:val="24"/>
        </w:rPr>
      </w:r>
    </w:p>
    <w:p>
      <w:pPr>
        <w:pStyle w:val="Alaotsikko"/>
        <w:rPr/>
      </w:pPr>
      <w:r>
        <w:rPr/>
        <w:t>Tapahtuman yleistiedot:</w:t>
      </w:r>
    </w:p>
    <w:p>
      <w:pPr>
        <w:pStyle w:val="Normal"/>
        <w:jc w:val="both"/>
        <w:rPr>
          <w:rFonts w:cs="Arial"/>
          <w:szCs w:val="24"/>
        </w:rPr>
      </w:pPr>
      <w:r>
        <w:rPr>
          <w:rFonts w:cs="Arial"/>
          <w:szCs w:val="24"/>
        </w:rPr>
      </w:r>
    </w:p>
    <w:tbl>
      <w:tblPr>
        <w:tblStyle w:val="TableGrid"/>
        <w:tblW w:w="9628"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4428"/>
        <w:gridCol w:w="5199"/>
      </w:tblGrid>
      <w:tr>
        <w:trPr>
          <w:trHeight w:val="567" w:hRule="atLeast"/>
        </w:trPr>
        <w:tc>
          <w:tcPr>
            <w:tcW w:w="4428" w:type="dxa"/>
            <w:tcBorders/>
          </w:tcPr>
          <w:p>
            <w:pPr>
              <w:pStyle w:val="Normal"/>
              <w:widowControl/>
              <w:spacing w:before="0" w:after="0"/>
              <w:jc w:val="left"/>
              <w:rPr>
                <w:rFonts w:cs="Arial"/>
                <w:sz w:val="22"/>
                <w:szCs w:val="24"/>
              </w:rPr>
            </w:pPr>
            <w:r>
              <w:rPr>
                <w:rFonts w:eastAsia="Calibri" w:cs="Arial"/>
                <w:kern w:val="0"/>
                <w:sz w:val="22"/>
                <w:szCs w:val="22"/>
                <w:lang w:val="fi-FI" w:eastAsia="en-US" w:bidi="ar-SA"/>
              </w:rPr>
              <w:t>Tapahtuman nimi:</w:t>
            </w:r>
            <w:r>
              <w:rPr>
                <w:rFonts w:eastAsia="Calibri" w:cs="Arial"/>
                <w:kern w:val="0"/>
                <w:sz w:val="22"/>
                <w:szCs w:val="24"/>
                <w:lang w:val="fi-FI" w:eastAsia="en-US" w:bidi="ar-SA"/>
              </w:rPr>
              <w:t xml:space="preserve"> </w:t>
            </w:r>
          </w:p>
          <w:p>
            <w:pPr>
              <w:pStyle w:val="Normal"/>
              <w:widowControl/>
              <w:spacing w:before="0" w:after="0"/>
              <w:jc w:val="left"/>
              <w:rPr>
                <w:rFonts w:cs="Arial"/>
                <w:szCs w:val="24"/>
              </w:rPr>
            </w:pPr>
            <w:r>
              <w:rPr>
                <w:rFonts w:eastAsia="Calibri" w:cs="Arial"/>
                <w:kern w:val="0"/>
                <w:szCs w:val="22"/>
                <w:lang w:val="fi-FI" w:eastAsia="en-US" w:bidi="ar-SA"/>
              </w:rPr>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t>Seinäjoen Kansalliset Ampumahiihtokilpailut</w:t>
            </w:r>
          </w:p>
        </w:tc>
      </w:tr>
      <w:tr>
        <w:trPr>
          <w:trHeight w:val="567" w:hRule="atLeast"/>
        </w:trPr>
        <w:tc>
          <w:tcPr>
            <w:tcW w:w="4428" w:type="dxa"/>
            <w:tcBorders/>
          </w:tcPr>
          <w:p>
            <w:pPr>
              <w:pStyle w:val="Normal"/>
              <w:widowControl/>
              <w:spacing w:before="0" w:after="0"/>
              <w:jc w:val="left"/>
              <w:rPr>
                <w:rFonts w:cs="Arial"/>
                <w:szCs w:val="24"/>
              </w:rPr>
            </w:pPr>
            <w:r>
              <w:rPr>
                <w:rFonts w:eastAsia="Calibri" w:cs="Arial"/>
                <w:kern w:val="0"/>
                <w:sz w:val="22"/>
                <w:szCs w:val="22"/>
                <w:lang w:val="fi-FI" w:eastAsia="en-US" w:bidi="ar-SA"/>
              </w:rPr>
              <w:t>Tapahtuman ajankohta: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päivämäärät ja kellonajat</w:t>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t>14.01.2023    9.00 – 16.00</w:t>
            </w:r>
          </w:p>
          <w:p>
            <w:pPr>
              <w:pStyle w:val="Normal"/>
              <w:widowControl/>
              <w:spacing w:before="0" w:after="0"/>
              <w:jc w:val="both"/>
              <w:rPr>
                <w:rFonts w:cs="Arial"/>
                <w:sz w:val="22"/>
              </w:rPr>
            </w:pPr>
            <w:r>
              <w:rPr>
                <w:rFonts w:eastAsia="Calibri" w:cs="Arial"/>
                <w:kern w:val="0"/>
                <w:sz w:val="22"/>
                <w:szCs w:val="22"/>
                <w:lang w:val="fi-FI" w:eastAsia="en-US" w:bidi="ar-SA"/>
              </w:rPr>
              <w:t>15.01.2023    9.00 – 16.00</w:t>
            </w:r>
          </w:p>
        </w:tc>
      </w:tr>
      <w:tr>
        <w:trPr>
          <w:trHeight w:val="567" w:hRule="atLeast"/>
        </w:trPr>
        <w:tc>
          <w:tcPr>
            <w:tcW w:w="4428" w:type="dxa"/>
            <w:tcBorders/>
          </w:tcPr>
          <w:p>
            <w:pPr>
              <w:pStyle w:val="Normal"/>
              <w:widowControl/>
              <w:spacing w:before="0" w:after="0"/>
              <w:jc w:val="left"/>
              <w:rPr>
                <w:rFonts w:cs="Arial"/>
                <w:szCs w:val="24"/>
              </w:rPr>
            </w:pPr>
            <w:r>
              <w:rPr>
                <w:rFonts w:eastAsia="Calibri" w:cs="Arial"/>
                <w:kern w:val="0"/>
                <w:sz w:val="22"/>
                <w:szCs w:val="22"/>
                <w:lang w:val="fi-FI" w:eastAsia="en-US" w:bidi="ar-SA"/>
              </w:rPr>
              <w:t>Tapahtumapaikka: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osoite ja kunta</w:t>
            </w:r>
          </w:p>
        </w:tc>
        <w:tc>
          <w:tcPr>
            <w:tcW w:w="5199" w:type="dxa"/>
            <w:tcBorders/>
          </w:tcPr>
          <w:p>
            <w:pPr>
              <w:pStyle w:val="Normal"/>
              <w:widowControl/>
              <w:spacing w:before="0" w:after="0"/>
              <w:jc w:val="left"/>
              <w:rPr>
                <w:rFonts w:eastAsia="Calibri" w:cs=""/>
                <w:kern w:val="0"/>
                <w:szCs w:val="22"/>
                <w:lang w:val="fi-FI" w:eastAsia="en-US" w:bidi="ar-SA"/>
              </w:rPr>
            </w:pPr>
            <w:r>
              <w:rPr>
                <w:rFonts w:eastAsia="Calibri" w:cs=""/>
                <w:kern w:val="0"/>
                <w:szCs w:val="22"/>
                <w:lang w:val="fi-FI" w:eastAsia="en-US" w:bidi="ar-SA"/>
              </w:rPr>
              <w:t>Ampumahiihtostadion Jouppilanvuorentie 66, hiihtoladut, Seinäjoki</w:t>
            </w:r>
          </w:p>
          <w:p>
            <w:pPr>
              <w:pStyle w:val="Normal"/>
              <w:widowControl/>
              <w:spacing w:before="0" w:after="0"/>
              <w:jc w:val="both"/>
              <w:rPr>
                <w:rFonts w:cs="Arial"/>
                <w:sz w:val="22"/>
              </w:rPr>
            </w:pPr>
            <w:r>
              <w:rPr>
                <w:rFonts w:eastAsia="Calibri" w:cs="Arial"/>
                <w:kern w:val="0"/>
                <w:sz w:val="22"/>
                <w:szCs w:val="22"/>
                <w:lang w:val="fi-FI" w:eastAsia="en-US" w:bidi="ar-SA"/>
              </w:rPr>
            </w:r>
          </w:p>
        </w:tc>
      </w:tr>
      <w:tr>
        <w:trPr>
          <w:trHeight w:val="567" w:hRule="atLeast"/>
        </w:trPr>
        <w:tc>
          <w:tcPr>
            <w:tcW w:w="4428" w:type="dxa"/>
            <w:tcBorders/>
          </w:tcPr>
          <w:p>
            <w:pPr>
              <w:pStyle w:val="Normal"/>
              <w:widowControl/>
              <w:spacing w:before="0" w:after="0"/>
              <w:jc w:val="left"/>
              <w:rPr>
                <w:rFonts w:cs="Arial"/>
                <w:szCs w:val="24"/>
              </w:rPr>
            </w:pPr>
            <w:r>
              <w:rPr>
                <w:rFonts w:eastAsia="Calibri" w:cs="Arial"/>
                <w:kern w:val="0"/>
                <w:sz w:val="22"/>
                <w:szCs w:val="22"/>
                <w:lang w:val="fi-FI" w:eastAsia="en-US" w:bidi="ar-SA"/>
              </w:rPr>
              <w:t>Tapahtuman järjestäjä: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vastuullisen järjestäjän nimi, y-tunnus, yhteystiedot</w:t>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r>
          </w:p>
          <w:p>
            <w:pPr>
              <w:pStyle w:val="Normal"/>
              <w:widowControl/>
              <w:spacing w:before="0" w:after="0"/>
              <w:jc w:val="both"/>
              <w:rPr>
                <w:rFonts w:cs="Arial"/>
                <w:sz w:val="22"/>
              </w:rPr>
            </w:pPr>
            <w:r>
              <w:rPr>
                <w:rFonts w:eastAsia="Calibri" w:cs="Arial"/>
                <w:kern w:val="0"/>
                <w:sz w:val="22"/>
                <w:szCs w:val="22"/>
                <w:lang w:val="fi-FI" w:eastAsia="en-US" w:bidi="ar-SA"/>
              </w:rPr>
              <w:t>Seinäjoen Hiihtoseura Ry</w:t>
            </w:r>
          </w:p>
          <w:p>
            <w:pPr>
              <w:pStyle w:val="Normal"/>
              <w:widowControl/>
              <w:spacing w:before="0" w:after="0"/>
              <w:jc w:val="both"/>
              <w:rPr>
                <w:rFonts w:cs="Arial"/>
                <w:sz w:val="22"/>
              </w:rPr>
            </w:pPr>
            <w:r>
              <w:rPr>
                <w:rFonts w:eastAsia="Calibri" w:cs="Arial"/>
                <w:kern w:val="0"/>
                <w:sz w:val="22"/>
                <w:szCs w:val="22"/>
                <w:lang w:val="fi-FI" w:eastAsia="en-US" w:bidi="ar-SA"/>
              </w:rPr>
            </w:r>
          </w:p>
          <w:p>
            <w:pPr>
              <w:pStyle w:val="Normal"/>
              <w:widowControl/>
              <w:spacing w:before="0" w:after="0"/>
              <w:jc w:val="both"/>
              <w:rPr>
                <w:rFonts w:cs="Arial"/>
                <w:sz w:val="22"/>
              </w:rPr>
            </w:pPr>
            <w:r>
              <w:rPr>
                <w:rFonts w:eastAsia="Calibri" w:cs="Arial"/>
                <w:kern w:val="0"/>
                <w:sz w:val="22"/>
                <w:szCs w:val="22"/>
                <w:lang w:val="fi-FI" w:eastAsia="en-US" w:bidi="ar-SA"/>
              </w:rPr>
            </w:r>
          </w:p>
        </w:tc>
      </w:tr>
      <w:tr>
        <w:trPr>
          <w:trHeight w:val="567" w:hRule="atLeast"/>
        </w:trPr>
        <w:tc>
          <w:tcPr>
            <w:tcW w:w="4428" w:type="dxa"/>
            <w:tcBorders/>
          </w:tcPr>
          <w:p>
            <w:pPr>
              <w:pStyle w:val="Normal"/>
              <w:widowControl/>
              <w:spacing w:before="0" w:after="0"/>
              <w:jc w:val="left"/>
              <w:rPr>
                <w:rFonts w:cs="Arial"/>
                <w:szCs w:val="24"/>
              </w:rPr>
            </w:pPr>
            <w:r>
              <w:rPr>
                <w:rFonts w:eastAsia="Calibri" w:cs="Arial"/>
                <w:kern w:val="0"/>
                <w:sz w:val="22"/>
                <w:szCs w:val="22"/>
                <w:lang w:val="fi-FI" w:eastAsia="en-US" w:bidi="ar-SA"/>
              </w:rPr>
              <w:t>Tapahtuman järjestäjän yhteyshenkilö:</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ja yhteystiedot</w:t>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r>
          </w:p>
          <w:p>
            <w:pPr>
              <w:pStyle w:val="Normal"/>
              <w:widowControl/>
              <w:spacing w:before="0" w:after="0"/>
              <w:jc w:val="both"/>
              <w:rPr>
                <w:rFonts w:cs="Arial"/>
                <w:sz w:val="22"/>
              </w:rPr>
            </w:pP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spacing w:before="0" w:after="0"/>
              <w:jc w:val="both"/>
              <w:rPr>
                <w:rFonts w:cs="Arial"/>
                <w:sz w:val="22"/>
              </w:rPr>
            </w:pPr>
            <w:r>
              <w:rPr>
                <w:rFonts w:eastAsia="Calibri" w:cs="Arial"/>
                <w:kern w:val="0"/>
                <w:sz w:val="22"/>
                <w:szCs w:val="22"/>
                <w:lang w:val="fi-FI" w:eastAsia="en-US" w:bidi="ar-SA"/>
              </w:rPr>
            </w:r>
          </w:p>
        </w:tc>
      </w:tr>
      <w:tr>
        <w:trPr>
          <w:trHeight w:val="567" w:hRule="atLeast"/>
        </w:trPr>
        <w:tc>
          <w:tcPr>
            <w:tcW w:w="4428" w:type="dxa"/>
            <w:tcBorders/>
          </w:tcPr>
          <w:p>
            <w:pPr>
              <w:pStyle w:val="Normal"/>
              <w:widowControl/>
              <w:spacing w:before="0" w:after="0"/>
              <w:jc w:val="left"/>
              <w:rPr>
                <w:rFonts w:cs="Arial"/>
                <w:szCs w:val="24"/>
              </w:rPr>
            </w:pPr>
            <w:r>
              <w:rPr>
                <w:rFonts w:eastAsia="Calibri" w:cs="Arial"/>
                <w:kern w:val="0"/>
                <w:sz w:val="22"/>
                <w:szCs w:val="22"/>
                <w:lang w:val="fi-FI" w:eastAsia="en-US" w:bidi="ar-SA"/>
              </w:rPr>
              <w:t>Tapahtuman turvallisuudesta vastaava: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ja yhteystiedot</w:t>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r>
          </w:p>
          <w:p>
            <w:pPr>
              <w:pStyle w:val="Normal"/>
              <w:widowControl/>
              <w:spacing w:before="0" w:after="0"/>
              <w:jc w:val="both"/>
              <w:rPr>
                <w:rFonts w:cs="Arial"/>
                <w:sz w:val="22"/>
              </w:rPr>
            </w:pP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spacing w:before="0" w:after="0"/>
              <w:jc w:val="both"/>
              <w:rPr>
                <w:rFonts w:cs="Arial"/>
                <w:sz w:val="22"/>
              </w:rPr>
            </w:pPr>
            <w:r>
              <w:rPr>
                <w:rFonts w:eastAsia="Calibri" w:cs="Arial"/>
                <w:kern w:val="0"/>
                <w:sz w:val="22"/>
                <w:szCs w:val="22"/>
                <w:lang w:val="fi-FI" w:eastAsia="en-US" w:bidi="ar-SA"/>
              </w:rPr>
            </w:r>
          </w:p>
        </w:tc>
      </w:tr>
      <w:tr>
        <w:trPr>
          <w:trHeight w:val="567" w:hRule="atLeast"/>
        </w:trPr>
        <w:tc>
          <w:tcPr>
            <w:tcW w:w="4428" w:type="dxa"/>
            <w:tcBorders/>
          </w:tcPr>
          <w:p>
            <w:pPr>
              <w:pStyle w:val="Normal"/>
              <w:widowControl/>
              <w:spacing w:before="0" w:after="0"/>
              <w:jc w:val="left"/>
              <w:rPr>
                <w:rFonts w:cs="Arial"/>
                <w:i/>
                <w:i/>
                <w:sz w:val="20"/>
                <w:szCs w:val="20"/>
              </w:rPr>
            </w:pPr>
            <w:r>
              <w:rPr>
                <w:rFonts w:eastAsia="Calibri" w:cs="Arial"/>
                <w:kern w:val="0"/>
                <w:sz w:val="22"/>
                <w:szCs w:val="22"/>
                <w:lang w:val="fi-FI" w:eastAsia="en-US" w:bidi="ar-SA"/>
              </w:rPr>
              <w:t>Tapahtuman turvallisuushenkilöstö:</w:t>
            </w:r>
            <w:r>
              <w:rPr>
                <w:rFonts w:eastAsia="Calibri" w:cs="Arial"/>
                <w:kern w:val="0"/>
                <w:szCs w:val="22"/>
                <w:lang w:val="fi-FI" w:eastAsia="en-US" w:bidi="ar-SA"/>
              </w:rPr>
              <w:t xml:space="preserve"> </w:t>
            </w:r>
            <w:r>
              <w:rPr>
                <w:rFonts w:eastAsia="Calibri" w:cs="Arial"/>
                <w:i/>
                <w:kern w:val="0"/>
                <w:sz w:val="20"/>
                <w:szCs w:val="20"/>
                <w:lang w:val="fi-FI" w:eastAsia="en-US" w:bidi="ar-SA"/>
              </w:rPr>
              <w:t>järjestyksenvalvojien ja muun turvallisuushenkilöstön määrä, sijoittelu ja tehtävät. Suurissa tapahtumissa järjestelyt, kuten kaavio organisaatiosta, organisaation keskinäinen viestintä ja hälytysyhteydet esitetään yksityiskohtaisemmin esimerkiksi erillisellä liitteellä.</w:t>
            </w:r>
          </w:p>
          <w:p>
            <w:pPr>
              <w:pStyle w:val="Normal"/>
              <w:widowControl/>
              <w:spacing w:before="0" w:after="0"/>
              <w:jc w:val="left"/>
              <w:rPr>
                <w:rFonts w:cs="Arial"/>
              </w:rPr>
            </w:pPr>
            <w:r>
              <w:rPr>
                <w:rFonts w:eastAsia="Calibri" w:cs="Arial"/>
                <w:kern w:val="0"/>
                <w:szCs w:val="22"/>
                <w:lang w:val="fi-FI" w:eastAsia="en-US" w:bidi="ar-SA"/>
              </w:rPr>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t>Ei erillistä turvallisuus henkilöstöä</w:t>
            </w:r>
          </w:p>
        </w:tc>
      </w:tr>
      <w:tr>
        <w:trPr>
          <w:trHeight w:val="567" w:hRule="atLeast"/>
        </w:trPr>
        <w:tc>
          <w:tcPr>
            <w:tcW w:w="4428" w:type="dxa"/>
            <w:tcBorders/>
          </w:tcPr>
          <w:p>
            <w:pPr>
              <w:pStyle w:val="Normal"/>
              <w:widowControl/>
              <w:spacing w:before="0" w:after="0"/>
              <w:jc w:val="left"/>
              <w:rPr>
                <w:rFonts w:cs="Arial"/>
                <w:i/>
                <w:i/>
                <w:sz w:val="20"/>
                <w:szCs w:val="20"/>
              </w:rPr>
            </w:pPr>
            <w:r>
              <w:rPr>
                <w:rFonts w:eastAsia="Calibri" w:cs="Arial"/>
                <w:kern w:val="0"/>
                <w:sz w:val="22"/>
                <w:szCs w:val="22"/>
                <w:lang w:val="fi-FI" w:eastAsia="en-US" w:bidi="ar-SA"/>
              </w:rPr>
              <w:t>Kohderyhmä: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aikuisia, lapsia, vanhuksia, liikuntarajoitteisia, jne.</w:t>
            </w:r>
          </w:p>
          <w:p>
            <w:pPr>
              <w:pStyle w:val="Normal"/>
              <w:widowControl/>
              <w:spacing w:before="0" w:after="0"/>
              <w:jc w:val="left"/>
              <w:rPr>
                <w:rFonts w:cs="Arial"/>
                <w:szCs w:val="24"/>
              </w:rPr>
            </w:pPr>
            <w:r>
              <w:rPr>
                <w:rFonts w:eastAsia="Calibri" w:cs="Arial"/>
                <w:kern w:val="0"/>
                <w:szCs w:val="22"/>
                <w:lang w:val="fi-FI" w:eastAsia="en-US" w:bidi="ar-SA"/>
              </w:rPr>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t>Aikuisia ja lapsia</w:t>
            </w:r>
          </w:p>
        </w:tc>
      </w:tr>
      <w:tr>
        <w:trPr>
          <w:trHeight w:val="3596" w:hRule="atLeast"/>
        </w:trPr>
        <w:tc>
          <w:tcPr>
            <w:tcW w:w="4428" w:type="dxa"/>
            <w:tcBorders/>
          </w:tcPr>
          <w:p>
            <w:pPr>
              <w:pStyle w:val="Normal"/>
              <w:widowControl/>
              <w:spacing w:before="0" w:after="0"/>
              <w:jc w:val="left"/>
              <w:rPr>
                <w:rFonts w:cs="Arial"/>
                <w:szCs w:val="24"/>
              </w:rPr>
            </w:pPr>
            <w:r>
              <w:rPr>
                <w:rFonts w:eastAsia="Calibri" w:cs="Arial"/>
                <w:kern w:val="0"/>
                <w:sz w:val="22"/>
                <w:szCs w:val="22"/>
                <w:lang w:val="fi-FI" w:eastAsia="en-US" w:bidi="ar-SA"/>
              </w:rPr>
              <w:t>Tapahtuman kuvaus:</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tarkka kuvaus tapahtumasta ja sen kulusta, ohjelmasta jne</w:t>
            </w:r>
            <w:r>
              <w:rPr>
                <w:rFonts w:eastAsia="Calibri" w:cs="Arial"/>
                <w:i/>
                <w:kern w:val="0"/>
                <w:szCs w:val="24"/>
                <w:lang w:val="fi-FI" w:eastAsia="en-US" w:bidi="ar-SA"/>
              </w:rPr>
              <w:t>.</w:t>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r>
          </w:p>
          <w:p>
            <w:pPr>
              <w:pStyle w:val="Normal"/>
              <w:widowControl/>
              <w:spacing w:before="0" w:after="0"/>
              <w:jc w:val="both"/>
              <w:rPr>
                <w:rFonts w:cs="Arial"/>
                <w:sz w:val="22"/>
              </w:rPr>
            </w:pPr>
            <w:r>
              <w:rPr>
                <w:rFonts w:eastAsia="Calibri" w:cs="Arial"/>
                <w:kern w:val="0"/>
                <w:sz w:val="22"/>
                <w:szCs w:val="22"/>
                <w:lang w:val="fi-FI" w:eastAsia="en-US" w:bidi="ar-SA"/>
              </w:rPr>
              <w:t>Ampumahiihdon yhteislähtökilpailu</w:t>
            </w:r>
          </w:p>
          <w:p>
            <w:pPr>
              <w:pStyle w:val="Normal"/>
              <w:widowControl/>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9.00-10.00  Suksien testaus ja verryttely</w:t>
            </w:r>
          </w:p>
          <w:p>
            <w:pPr>
              <w:pStyle w:val="Normal"/>
              <w:widowControl/>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10.00 Kohdistus ammunnat 1 erä</w:t>
            </w:r>
          </w:p>
          <w:p>
            <w:pPr>
              <w:pStyle w:val="Normal"/>
              <w:widowControl/>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11.00 Kilpailu 1 erän hiihtäjät</w:t>
            </w:r>
          </w:p>
          <w:p>
            <w:pPr>
              <w:pStyle w:val="Normal"/>
              <w:widowControl/>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12.30 Kohdistus ammunnat 2 erä</w:t>
            </w:r>
          </w:p>
          <w:p>
            <w:pPr>
              <w:pStyle w:val="Normal"/>
              <w:widowControl/>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13.00 Kilpailu 2 erän hiihtäjät</w:t>
            </w:r>
          </w:p>
          <w:p>
            <w:pPr>
              <w:pStyle w:val="Normal"/>
              <w:widowControl/>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n. 15.30 Viimeinen hiihtäjä maalissa</w:t>
            </w:r>
          </w:p>
        </w:tc>
      </w:tr>
      <w:tr>
        <w:trPr>
          <w:trHeight w:val="567" w:hRule="atLeast"/>
        </w:trPr>
        <w:tc>
          <w:tcPr>
            <w:tcW w:w="4428" w:type="dxa"/>
            <w:tcBorders/>
          </w:tcPr>
          <w:p>
            <w:pPr>
              <w:pStyle w:val="Normal"/>
              <w:widowControl/>
              <w:spacing w:before="0" w:after="0"/>
              <w:jc w:val="left"/>
              <w:rPr>
                <w:rFonts w:cs="Arial"/>
                <w:i/>
                <w:i/>
                <w:sz w:val="20"/>
                <w:szCs w:val="20"/>
              </w:rPr>
            </w:pPr>
            <w:r>
              <w:rPr>
                <w:rFonts w:eastAsia="Calibri" w:cs="Arial"/>
                <w:kern w:val="0"/>
                <w:sz w:val="22"/>
                <w:szCs w:val="22"/>
                <w:lang w:val="fi-FI" w:eastAsia="en-US" w:bidi="ar-SA"/>
              </w:rPr>
              <w:t>Arvio henkilömäärästä: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arvio samanaikaisesti läsnä olevien henkilöiden määrästä (yleisö, henkilökunta, esiintyjät, oheispalveluiden tuottajat, kilpailijat jne.)</w:t>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t>200 urheilijaa, 150 huoltajaa, 30 toimitsijaa</w:t>
            </w:r>
          </w:p>
          <w:p>
            <w:pPr>
              <w:pStyle w:val="Normal"/>
              <w:widowControl/>
              <w:spacing w:before="0" w:after="0"/>
              <w:jc w:val="both"/>
              <w:rPr>
                <w:rFonts w:cs="Arial"/>
                <w:sz w:val="22"/>
              </w:rPr>
            </w:pPr>
            <w:r>
              <w:rPr>
                <w:rFonts w:eastAsia="Calibri" w:cs="Arial"/>
                <w:kern w:val="0"/>
                <w:sz w:val="22"/>
                <w:szCs w:val="22"/>
                <w:lang w:val="fi-FI" w:eastAsia="en-US" w:bidi="ar-SA"/>
              </w:rPr>
              <w:t>Yleisöä 50 henkilöä</w:t>
            </w:r>
          </w:p>
        </w:tc>
      </w:tr>
      <w:tr>
        <w:trPr>
          <w:trHeight w:val="567" w:hRule="atLeast"/>
        </w:trPr>
        <w:tc>
          <w:tcPr>
            <w:tcW w:w="4428" w:type="dxa"/>
            <w:tcBorders/>
          </w:tcPr>
          <w:p>
            <w:pPr>
              <w:pStyle w:val="Normal"/>
              <w:widowControl/>
              <w:spacing w:before="0" w:after="0"/>
              <w:jc w:val="left"/>
              <w:rPr>
                <w:rFonts w:cs="Arial"/>
                <w:i/>
                <w:i/>
                <w:sz w:val="20"/>
                <w:szCs w:val="20"/>
              </w:rPr>
            </w:pPr>
            <w:r>
              <w:rPr>
                <w:rFonts w:eastAsia="Calibri" w:cs="Arial"/>
                <w:kern w:val="0"/>
                <w:sz w:val="22"/>
                <w:szCs w:val="22"/>
                <w:lang w:val="fi-FI" w:eastAsia="en-US" w:bidi="ar-SA"/>
              </w:rPr>
              <w:t>Tapahtuman erityispiirteet:</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tapahtuman mahdolliset erityispiirteet kuten vaaralliset kemikaalit, nestekaasu ja muut vaaralliset kemikaalit, avotuli, pyrotekniset tehosteet, ilotulitteet, tuliesitys, extremelajit,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pPr>
              <w:pStyle w:val="Normal"/>
              <w:widowControl/>
              <w:spacing w:before="0" w:after="0"/>
              <w:jc w:val="left"/>
              <w:rPr>
                <w:rFonts w:cs="Arial"/>
                <w:i/>
                <w:i/>
                <w:sz w:val="20"/>
                <w:szCs w:val="20"/>
              </w:rPr>
            </w:pPr>
            <w:r>
              <w:rPr>
                <w:rFonts w:eastAsia="Calibri" w:cs="Arial"/>
                <w:i/>
                <w:kern w:val="0"/>
                <w:sz w:val="20"/>
                <w:szCs w:val="22"/>
                <w:lang w:val="fi-FI" w:eastAsia="en-US" w:bidi="ar-SA"/>
              </w:rPr>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r>
          </w:p>
        </w:tc>
      </w:tr>
      <w:tr>
        <w:trPr>
          <w:trHeight w:val="567" w:hRule="atLeast"/>
        </w:trPr>
        <w:tc>
          <w:tcPr>
            <w:tcW w:w="4428" w:type="dxa"/>
            <w:tcBorders/>
          </w:tcPr>
          <w:p>
            <w:pPr>
              <w:pStyle w:val="Normal"/>
              <w:widowControl/>
              <w:spacing w:before="0" w:after="0"/>
              <w:jc w:val="left"/>
              <w:rPr>
                <w:rFonts w:cs="Arial"/>
                <w:i/>
                <w:i/>
                <w:sz w:val="20"/>
                <w:szCs w:val="20"/>
              </w:rPr>
            </w:pPr>
            <w:r>
              <w:rPr>
                <w:rFonts w:eastAsia="Calibri" w:cs="Arial"/>
                <w:kern w:val="0"/>
                <w:sz w:val="22"/>
                <w:szCs w:val="22"/>
                <w:lang w:val="fi-FI" w:eastAsia="en-US" w:bidi="ar-SA"/>
              </w:rPr>
              <w:t>Tapahtumapaikan erityispiirteet:</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kiipeämis- ja putoamismahdollisuus, vesistö, iso liikenneväylä, syrjäinen sijainti, pimeys, tapahtuma maastossa, huonot tieyhteydet, saari jne.</w:t>
            </w:r>
          </w:p>
          <w:p>
            <w:pPr>
              <w:pStyle w:val="Normal"/>
              <w:widowControl/>
              <w:spacing w:before="0" w:after="0"/>
              <w:jc w:val="left"/>
              <w:rPr>
                <w:rFonts w:cs="Arial"/>
                <w:szCs w:val="24"/>
              </w:rPr>
            </w:pPr>
            <w:r>
              <w:rPr>
                <w:rFonts w:eastAsia="Calibri" w:cs="Arial"/>
                <w:kern w:val="0"/>
                <w:szCs w:val="22"/>
                <w:lang w:val="fi-FI" w:eastAsia="en-US" w:bidi="ar-SA"/>
              </w:rPr>
            </w:r>
          </w:p>
        </w:tc>
        <w:tc>
          <w:tcPr>
            <w:tcW w:w="5199" w:type="dxa"/>
            <w:tcBorders/>
          </w:tcPr>
          <w:p>
            <w:pPr>
              <w:pStyle w:val="Normal"/>
              <w:widowControl/>
              <w:spacing w:before="0" w:after="0"/>
              <w:jc w:val="both"/>
              <w:rPr>
                <w:rFonts w:cs="Arial"/>
                <w:sz w:val="22"/>
              </w:rPr>
            </w:pPr>
            <w:r>
              <w:rPr>
                <w:rFonts w:eastAsia="Calibri" w:cs="Arial"/>
                <w:kern w:val="0"/>
                <w:sz w:val="22"/>
                <w:szCs w:val="22"/>
                <w:lang w:val="fi-FI" w:eastAsia="en-US" w:bidi="ar-SA"/>
              </w:rPr>
              <w:t>Ampumahiihtokilpailut maastossa</w:t>
            </w:r>
          </w:p>
        </w:tc>
      </w:tr>
    </w:tbl>
    <w:p>
      <w:pPr>
        <w:sectPr>
          <w:type w:val="nextPage"/>
          <w:pgSz w:w="11906" w:h="16838"/>
          <w:pgMar w:left="1134" w:right="1134" w:gutter="0" w:header="0" w:top="1417" w:footer="0" w:bottom="1417"/>
          <w:pgNumType w:fmt="decimal"/>
          <w:formProt w:val="false"/>
          <w:textDirection w:val="lrTb"/>
          <w:docGrid w:type="default" w:linePitch="360" w:charSpace="0"/>
        </w:sectPr>
      </w:pPr>
    </w:p>
    <w:p>
      <w:pPr>
        <w:pStyle w:val="Otsikko1"/>
        <w:numPr>
          <w:ilvl w:val="0"/>
          <w:numId w:val="1"/>
        </w:numPr>
        <w:ind w:left="360" w:hanging="360"/>
        <w:rPr/>
      </w:pPr>
      <w:bookmarkStart w:id="2" w:name="_Toc387754664"/>
      <w:bookmarkStart w:id="3" w:name="_Toc387747994"/>
      <w:r>
        <w:rPr/>
        <w:t>Tapahtuman vaarojen ja riskien selvitys ja arviointi sekä tapahtuman turvallisuusjärjestelyt</w:t>
      </w:r>
      <w:bookmarkEnd w:id="2"/>
      <w:bookmarkEnd w:id="3"/>
    </w:p>
    <w:p>
      <w:pPr>
        <w:pStyle w:val="Normal"/>
        <w:jc w:val="both"/>
        <w:rPr>
          <w:rFonts w:cs="Calibri" w:cstheme="minorHAnsi"/>
          <w:b/>
          <w:b/>
          <w:caps/>
        </w:rPr>
      </w:pPr>
      <w:r>
        <w:rPr>
          <w:rFonts w:cs="Calibri" w:cstheme="minorHAnsi"/>
          <w:b/>
          <w:caps/>
        </w:rPr>
      </w:r>
    </w:p>
    <w:p>
      <w:pPr>
        <w:pStyle w:val="Normal"/>
        <w:jc w:val="both"/>
        <w:rPr>
          <w:rFonts w:cs="Arial"/>
          <w:sz w:val="22"/>
        </w:rPr>
      </w:pPr>
      <w:r>
        <w:rPr>
          <w:rFonts w:cs="Arial"/>
          <w:sz w:val="22"/>
        </w:rPr>
      </w:r>
    </w:p>
    <w:p>
      <w:pPr>
        <w:pStyle w:val="Normal"/>
        <w:jc w:val="both"/>
        <w:rPr>
          <w:rFonts w:cs="Arial"/>
          <w:sz w:val="22"/>
        </w:rPr>
      </w:pPr>
      <w:r>
        <w:rPr>
          <w:rFonts w:cs="Arial"/>
          <w:sz w:val="22"/>
        </w:rPr>
        <w:t>Tapahtuman vaarat ja riskit on selvitetty ja arvioitu. Jokaisen tapahtuman toteuttamisesta vastaavan henkilön on tiedostettava mitä vaaroja ja riskejä tapahtumaan kohdistuu, mistä ne voivat aiheutua ja mitä seurauksia niillä voi olla. Jokaista havaittua riskiä ja vaaraa varten on suunniteltu ennaltaehkäisevät järjestelyt, varautumisjärjestelyt sekä ohjeet toimintaan riskin toteutuessa. Jokaisen tapahtuman toteuttamisesta vastaavan henkilön on omaksuttava nämä asiat. Tapahtuman henkilökunta on myös koulutettu ennaltaehkäiseviin järjestelyihin, varautumisjärjestelyihin ja toimintaohjeisiin vaaran tai riskin toteutuessa. Vastuut on jaettu selkeästi kunkin riskin osalta. Vaaran tai riskin toteutuessa seurauksia voivat olla esimerkiksi tapahtuman keskeyttäminen tai hetkellinen keskeyttäminen, henkilövahingot tai irtaimistovahingot.</w:t>
      </w:r>
    </w:p>
    <w:p>
      <w:pPr>
        <w:pStyle w:val="Normal"/>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widowControl/>
              <w:spacing w:before="0" w:after="0"/>
              <w:jc w:val="left"/>
              <w:rPr>
                <w:b/>
                <w:b/>
                <w:sz w:val="22"/>
                <w:szCs w:val="24"/>
              </w:rPr>
            </w:pPr>
            <w:r>
              <w:rPr>
                <w:rFonts w:eastAsia="Calibri" w:cs=""/>
                <w:b/>
                <w:kern w:val="0"/>
                <w:sz w:val="22"/>
                <w:szCs w:val="24"/>
                <w:lang w:val="fi-FI" w:eastAsia="en-US" w:bidi="ar-SA"/>
              </w:rPr>
              <w:t>Vaara/riski</w:t>
            </w:r>
          </w:p>
        </w:tc>
        <w:tc>
          <w:tcPr>
            <w:tcW w:w="7613" w:type="dxa"/>
            <w:tcBorders/>
          </w:tcPr>
          <w:p>
            <w:pPr>
              <w:pStyle w:val="Normal"/>
              <w:widowControl/>
              <w:spacing w:before="0" w:after="0"/>
              <w:jc w:val="left"/>
              <w:rPr>
                <w:sz w:val="22"/>
              </w:rPr>
            </w:pPr>
            <w:r>
              <w:rPr>
                <w:rFonts w:eastAsia="Calibri" w:cs=""/>
                <w:b/>
                <w:kern w:val="0"/>
                <w:sz w:val="22"/>
                <w:szCs w:val="22"/>
                <w:lang w:val="fi-FI" w:eastAsia="en-US" w:bidi="ar-SA"/>
              </w:rPr>
              <w:t>Tapaturmat ja sairaskohtaukset</w:t>
            </w:r>
          </w:p>
        </w:tc>
      </w:tr>
      <w:tr>
        <w:trPr/>
        <w:tc>
          <w:tcPr>
            <w:tcW w:w="2014" w:type="dxa"/>
            <w:tcBorders/>
          </w:tcPr>
          <w:p>
            <w:pPr>
              <w:pStyle w:val="Normal"/>
              <w:widowControl/>
              <w:spacing w:before="0" w:after="0"/>
              <w:jc w:val="left"/>
              <w:rPr>
                <w:sz w:val="22"/>
              </w:rPr>
            </w:pPr>
            <w:r>
              <w:rPr>
                <w:rFonts w:eastAsia="Calibri" w:cs=""/>
                <w:kern w:val="0"/>
                <w:sz w:val="22"/>
                <w:szCs w:val="22"/>
                <w:lang w:val="fi-FI" w:eastAsia="en-US" w:bidi="ar-SA"/>
              </w:rPr>
              <w:t>Syyt</w:t>
            </w:r>
          </w:p>
        </w:tc>
        <w:tc>
          <w:tcPr>
            <w:tcW w:w="7613" w:type="dxa"/>
            <w:tcBorders/>
          </w:tcPr>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kompastuminen, kaatuminen, liukastuminen maaston epätasaisuudesta johtuen</w:t>
            </w:r>
          </w:p>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viallinen sähkölaite tai -johto</w:t>
            </w:r>
          </w:p>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 xml:space="preserve">nestekaasu </w:t>
            </w:r>
          </w:p>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liikenne</w:t>
            </w:r>
          </w:p>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kylmä ilma</w:t>
            </w:r>
          </w:p>
          <w:p>
            <w:pPr>
              <w:pStyle w:val="ListParagraph"/>
              <w:widowControl/>
              <w:spacing w:before="0" w:after="0"/>
              <w:ind w:left="357" w:hanging="0"/>
              <w:contextualSpacing/>
              <w:jc w:val="left"/>
              <w:rPr>
                <w:szCs w:val="20"/>
              </w:rPr>
            </w:pPr>
            <w:r>
              <w:rPr>
                <w:rFonts w:eastAsia="Calibri" w:cs=""/>
                <w:kern w:val="0"/>
                <w:szCs w:val="22"/>
                <w:lang w:val="fi-FI" w:eastAsia="en-US" w:bidi="ar-SA"/>
              </w:rPr>
            </w:r>
          </w:p>
        </w:tc>
      </w:tr>
      <w:tr>
        <w:trPr/>
        <w:tc>
          <w:tcPr>
            <w:tcW w:w="2014" w:type="dxa"/>
            <w:tcBorders/>
          </w:tcPr>
          <w:p>
            <w:pPr>
              <w:pStyle w:val="Normal"/>
              <w:widowControl/>
              <w:spacing w:before="0" w:after="0"/>
              <w:jc w:val="left"/>
              <w:rPr>
                <w:sz w:val="22"/>
              </w:rPr>
            </w:pPr>
            <w:r>
              <w:rPr>
                <w:rFonts w:eastAsia="Calibri" w:cs=""/>
                <w:kern w:val="0"/>
                <w:sz w:val="22"/>
                <w:szCs w:val="22"/>
                <w:lang w:val="fi-FI" w:eastAsia="en-US" w:bidi="ar-SA"/>
              </w:rPr>
              <w:t>Ennaltaehkäisevät järjestelyt ja varautuminen</w:t>
            </w:r>
          </w:p>
        </w:tc>
        <w:tc>
          <w:tcPr>
            <w:tcW w:w="7613" w:type="dxa"/>
            <w:tcBorders/>
          </w:tcPr>
          <w:p>
            <w:pPr>
              <w:pStyle w:val="ListParagraph"/>
              <w:widowControl/>
              <w:numPr>
                <w:ilvl w:val="0"/>
                <w:numId w:val="12"/>
              </w:numPr>
              <w:spacing w:before="0" w:after="0"/>
              <w:contextualSpacing/>
              <w:jc w:val="left"/>
              <w:rPr>
                <w:szCs w:val="20"/>
              </w:rPr>
            </w:pPr>
            <w:r>
              <w:rPr>
                <w:rFonts w:eastAsia="Calibri" w:cs=""/>
                <w:kern w:val="0"/>
                <w:szCs w:val="20"/>
                <w:lang w:val="fi-FI" w:eastAsia="en-US" w:bidi="ar-SA"/>
              </w:rPr>
              <w:t>Huomioidaan ja maaston ja rakenteiden liukkaus ja epätasaisuus. Varataan liukkaudentorjuntavälineitä sekä muita välineitä vaarallisten alueiden rajaamiseen ja merkitsemiseen. Suunnitellaan kilpaladut mahdollisimman turvallisiksi</w:t>
            </w:r>
          </w:p>
          <w:p>
            <w:pPr>
              <w:pStyle w:val="ListParagraph"/>
              <w:widowControl/>
              <w:numPr>
                <w:ilvl w:val="0"/>
                <w:numId w:val="12"/>
              </w:numPr>
              <w:spacing w:before="0" w:after="0"/>
              <w:contextualSpacing/>
              <w:jc w:val="left"/>
              <w:rPr>
                <w:szCs w:val="20"/>
              </w:rPr>
            </w:pPr>
            <w:r>
              <w:rPr>
                <w:rFonts w:eastAsia="Calibri" w:cs=""/>
                <w:kern w:val="0"/>
                <w:szCs w:val="20"/>
                <w:lang w:val="fi-FI" w:eastAsia="en-US" w:bidi="ar-SA"/>
              </w:rPr>
              <w:t>Suojataan kulkureiteillä olevat johdot kaapelikouruilla tms. Ulkotiloissa käytetään vain ulkokäyttöön tarkoitettuja sähköjohtoja.</w:t>
            </w:r>
          </w:p>
          <w:p>
            <w:pPr>
              <w:pStyle w:val="ListParagraph"/>
              <w:widowControl/>
              <w:numPr>
                <w:ilvl w:val="0"/>
                <w:numId w:val="12"/>
              </w:numPr>
              <w:spacing w:before="0" w:after="0"/>
              <w:contextualSpacing/>
              <w:jc w:val="left"/>
              <w:rPr>
                <w:szCs w:val="20"/>
              </w:rPr>
            </w:pPr>
            <w:r>
              <w:rPr>
                <w:rFonts w:eastAsia="Calibri" w:cs=""/>
                <w:kern w:val="0"/>
                <w:szCs w:val="20"/>
                <w:lang w:val="fi-FI" w:eastAsia="en-US" w:bidi="ar-SA"/>
              </w:rPr>
              <w:t>Nestekaasun käytössä noudatetaan riittävää varovaisuutta ja huolellisuutta. Ulkopuolisten pääsy vaarallisten kemikaalien säilytys- ja varastointipaikalle on estetty.</w:t>
            </w:r>
          </w:p>
          <w:p>
            <w:pPr>
              <w:pStyle w:val="ListParagraph"/>
              <w:widowControl/>
              <w:numPr>
                <w:ilvl w:val="0"/>
                <w:numId w:val="12"/>
              </w:numPr>
              <w:spacing w:before="0" w:after="0"/>
              <w:contextualSpacing/>
              <w:jc w:val="left"/>
              <w:rPr>
                <w:szCs w:val="20"/>
              </w:rPr>
            </w:pPr>
            <w:r>
              <w:rPr>
                <w:rFonts w:eastAsia="Calibri" w:cs=""/>
                <w:kern w:val="0"/>
                <w:szCs w:val="20"/>
                <w:lang w:val="fi-FI" w:eastAsia="en-US" w:bidi="ar-SA"/>
              </w:rPr>
              <w:t>Käytössä kaksi parkkipaikkaa kilpailukeskuksen läheisyydessä ja liikenteen ohjaajat ja opasteet ohjaavat autoilijoita.</w:t>
            </w:r>
          </w:p>
          <w:p>
            <w:pPr>
              <w:pStyle w:val="ListParagraph"/>
              <w:widowControl/>
              <w:numPr>
                <w:ilvl w:val="0"/>
                <w:numId w:val="12"/>
              </w:numPr>
              <w:spacing w:before="0" w:after="0"/>
              <w:contextualSpacing/>
              <w:jc w:val="left"/>
              <w:rPr>
                <w:szCs w:val="20"/>
              </w:rPr>
            </w:pPr>
            <w:r>
              <w:rPr>
                <w:rFonts w:eastAsia="Calibri" w:cs=""/>
                <w:kern w:val="0"/>
                <w:szCs w:val="20"/>
                <w:lang w:val="fi-FI" w:eastAsia="en-US" w:bidi="ar-SA"/>
              </w:rPr>
              <w:t xml:space="preserve">Ammuntaa johtaa ammunnanjohtaja joka vastaa siitä että turvallisuus ohjeita noudatetaan ja ammunta tapahtuu turvallisesti </w:t>
            </w:r>
          </w:p>
          <w:p>
            <w:pPr>
              <w:pStyle w:val="ListParagraph"/>
              <w:widowControl/>
              <w:spacing w:before="0" w:after="0"/>
              <w:ind w:left="360" w:hanging="0"/>
              <w:contextualSpacing/>
              <w:jc w:val="left"/>
              <w:rPr>
                <w:szCs w:val="20"/>
              </w:rPr>
            </w:pPr>
            <w:r>
              <w:rPr>
                <w:rFonts w:eastAsia="Calibri" w:cs=""/>
                <w:kern w:val="0"/>
                <w:szCs w:val="22"/>
                <w:lang w:val="fi-FI" w:eastAsia="en-US" w:bidi="ar-SA"/>
              </w:rPr>
            </w:r>
          </w:p>
        </w:tc>
      </w:tr>
      <w:tr>
        <w:trPr/>
        <w:tc>
          <w:tcPr>
            <w:tcW w:w="2014" w:type="dxa"/>
            <w:tcBorders/>
          </w:tcPr>
          <w:p>
            <w:pPr>
              <w:pStyle w:val="Normal"/>
              <w:widowControl/>
              <w:spacing w:before="0" w:after="0"/>
              <w:jc w:val="left"/>
              <w:rPr>
                <w:sz w:val="22"/>
              </w:rPr>
            </w:pPr>
            <w:r>
              <w:rPr>
                <w:rFonts w:eastAsia="Calibri" w:cs=""/>
                <w:kern w:val="0"/>
                <w:sz w:val="22"/>
                <w:szCs w:val="22"/>
                <w:lang w:val="fi-FI" w:eastAsia="en-US" w:bidi="ar-SA"/>
              </w:rPr>
              <w:t>Vastuut</w:t>
            </w:r>
          </w:p>
        </w:tc>
        <w:tc>
          <w:tcPr>
            <w:tcW w:w="7613" w:type="dxa"/>
            <w:tcBorders/>
          </w:tcPr>
          <w:p>
            <w:pPr>
              <w:pStyle w:val="Normal"/>
              <w:widowControl/>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p>
      <w:pPr>
        <w:pStyle w:val="Normal"/>
        <w:rPr/>
      </w:pPr>
      <w:r>
        <w:rPr/>
      </w:r>
      <w:r>
        <w:br w:type="page"/>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pageBreakBefore/>
              <w:widowControl/>
              <w:spacing w:before="0" w:after="0"/>
              <w:jc w:val="left"/>
              <w:rPr>
                <w:b/>
                <w:b/>
                <w:sz w:val="22"/>
              </w:rPr>
            </w:pPr>
            <w:r>
              <w:rPr>
                <w:rFonts w:eastAsia="Calibri" w:cs=""/>
                <w:b/>
                <w:kern w:val="0"/>
                <w:sz w:val="22"/>
                <w:szCs w:val="22"/>
                <w:lang w:val="fi-FI" w:eastAsia="en-US" w:bidi="ar-SA"/>
              </w:rPr>
              <w:t>Vaara/riski</w:t>
            </w:r>
          </w:p>
        </w:tc>
        <w:tc>
          <w:tcPr>
            <w:tcW w:w="7613" w:type="dxa"/>
            <w:tcBorders/>
          </w:tcPr>
          <w:p>
            <w:pPr>
              <w:pStyle w:val="Normal"/>
              <w:widowControl/>
              <w:spacing w:before="0" w:after="0"/>
              <w:jc w:val="left"/>
              <w:rPr>
                <w:b/>
                <w:b/>
              </w:rPr>
            </w:pPr>
            <w:r>
              <w:rPr>
                <w:rFonts w:eastAsia="Calibri" w:cs=""/>
                <w:b/>
                <w:kern w:val="0"/>
                <w:sz w:val="22"/>
                <w:szCs w:val="22"/>
                <w:lang w:val="fi-FI" w:eastAsia="en-US" w:bidi="ar-SA"/>
              </w:rPr>
              <w:t>Tulipalo</w:t>
            </w:r>
          </w:p>
        </w:tc>
      </w:tr>
      <w:tr>
        <w:trPr/>
        <w:tc>
          <w:tcPr>
            <w:tcW w:w="2014" w:type="dxa"/>
            <w:tcBorders/>
          </w:tcPr>
          <w:p>
            <w:pPr>
              <w:pStyle w:val="Normal"/>
              <w:widowControl/>
              <w:spacing w:before="0" w:after="0"/>
              <w:jc w:val="left"/>
              <w:rPr>
                <w:sz w:val="22"/>
                <w:szCs w:val="24"/>
              </w:rPr>
            </w:pPr>
            <w:r>
              <w:rPr>
                <w:rFonts w:eastAsia="Calibri" w:cs=""/>
                <w:kern w:val="0"/>
                <w:sz w:val="22"/>
                <w:szCs w:val="24"/>
                <w:lang w:val="fi-FI" w:eastAsia="en-US" w:bidi="ar-SA"/>
              </w:rPr>
              <w:t>Syyt</w:t>
            </w:r>
          </w:p>
        </w:tc>
        <w:tc>
          <w:tcPr>
            <w:tcW w:w="7613" w:type="dxa"/>
            <w:tcBorders/>
          </w:tcPr>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viallinen sähkölaite tai -johto</w:t>
            </w:r>
          </w:p>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tupakointi</w:t>
            </w:r>
          </w:p>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ilkivalta</w:t>
            </w:r>
          </w:p>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nestekaasu tai muut vaaralliset kemikaalit</w:t>
            </w:r>
          </w:p>
          <w:p>
            <w:pPr>
              <w:pStyle w:val="ListParagraph"/>
              <w:widowControl/>
              <w:spacing w:before="0" w:after="0"/>
              <w:ind w:left="357" w:hanging="0"/>
              <w:contextualSpacing/>
              <w:jc w:val="left"/>
              <w:rPr>
                <w:szCs w:val="20"/>
              </w:rPr>
            </w:pPr>
            <w:r>
              <w:rPr>
                <w:rFonts w:eastAsia="Calibri" w:cs=""/>
                <w:kern w:val="0"/>
                <w:szCs w:val="22"/>
                <w:lang w:val="fi-FI" w:eastAsia="en-US" w:bidi="ar-SA"/>
              </w:rPr>
            </w:r>
          </w:p>
        </w:tc>
      </w:tr>
      <w:tr>
        <w:trPr/>
        <w:tc>
          <w:tcPr>
            <w:tcW w:w="2014" w:type="dxa"/>
            <w:tcBorders/>
          </w:tcPr>
          <w:p>
            <w:pPr>
              <w:pStyle w:val="Normal"/>
              <w:widowControl/>
              <w:spacing w:before="0" w:after="0"/>
              <w:jc w:val="left"/>
              <w:rPr>
                <w:sz w:val="22"/>
                <w:szCs w:val="24"/>
              </w:rPr>
            </w:pPr>
            <w:r>
              <w:rPr>
                <w:rFonts w:eastAsia="Calibri" w:cs=""/>
                <w:kern w:val="0"/>
                <w:sz w:val="22"/>
                <w:szCs w:val="24"/>
                <w:lang w:val="fi-FI" w:eastAsia="en-US" w:bidi="ar-SA"/>
              </w:rPr>
              <w:t>Ennaltaehkäisevät järjestelyt ja varautuminen</w:t>
            </w:r>
          </w:p>
        </w:tc>
        <w:tc>
          <w:tcPr>
            <w:tcW w:w="7613" w:type="dxa"/>
            <w:tcBorders/>
          </w:tcPr>
          <w:p>
            <w:pPr>
              <w:pStyle w:val="ListParagraph"/>
              <w:widowControl/>
              <w:numPr>
                <w:ilvl w:val="0"/>
                <w:numId w:val="11"/>
              </w:numPr>
              <w:spacing w:before="0" w:after="0"/>
              <w:ind w:left="357" w:hanging="357"/>
              <w:contextualSpacing/>
              <w:jc w:val="left"/>
              <w:rPr>
                <w:szCs w:val="20"/>
              </w:rPr>
            </w:pPr>
            <w:r>
              <w:rPr>
                <w:rFonts w:eastAsia="Calibri" w:cs=""/>
                <w:kern w:val="0"/>
                <w:szCs w:val="20"/>
                <w:lang w:val="fi-FI" w:eastAsia="en-US" w:bidi="ar-SA"/>
              </w:rPr>
              <w:t>Ulkotiloissa käytetään vain ulkokäyttöön tarkoitettuja sähköjohtoja. Sähkölaitteet suojataan sateelta ja kosteudelta. Vialliset sähkölaitteet tai –johdot poistetaan käytöstä.</w:t>
            </w:r>
          </w:p>
          <w:p>
            <w:pPr>
              <w:pStyle w:val="ListParagraph"/>
              <w:widowControl/>
              <w:numPr>
                <w:ilvl w:val="0"/>
                <w:numId w:val="11"/>
              </w:numPr>
              <w:spacing w:before="0" w:after="0"/>
              <w:ind w:left="357" w:hanging="357"/>
              <w:contextualSpacing/>
              <w:jc w:val="left"/>
              <w:rPr>
                <w:szCs w:val="20"/>
              </w:rPr>
            </w:pPr>
            <w:r>
              <w:rPr>
                <w:rFonts w:eastAsia="Calibri" w:cs=""/>
                <w:kern w:val="0"/>
                <w:szCs w:val="20"/>
                <w:lang w:val="fi-FI" w:eastAsia="en-US" w:bidi="ar-SA"/>
              </w:rPr>
              <w:t>Sallitaan tupakointi vain merkityillä alueilla. Tupakointi on ehdottomasti kielletty nestekaasun sekä muiden (palo)vaarallisten kemikaalien käyttö-, säilytys- ja varastointipaikkojen läheisyydessä. Varataan tupakointialueelle palamattomasta materiaalista valmistetut tuhkakupit ja niiden tyhjennysastiat.</w:t>
            </w:r>
          </w:p>
          <w:p>
            <w:pPr>
              <w:pStyle w:val="ListParagraph"/>
              <w:widowControl/>
              <w:numPr>
                <w:ilvl w:val="0"/>
                <w:numId w:val="11"/>
              </w:numPr>
              <w:spacing w:before="0" w:after="0"/>
              <w:ind w:left="357" w:hanging="357"/>
              <w:contextualSpacing/>
              <w:jc w:val="left"/>
              <w:rPr>
                <w:szCs w:val="20"/>
              </w:rPr>
            </w:pPr>
            <w:r>
              <w:rPr>
                <w:rFonts w:eastAsia="Calibri" w:cs=""/>
                <w:kern w:val="0"/>
                <w:szCs w:val="20"/>
                <w:lang w:val="fi-FI" w:eastAsia="en-US" w:bidi="ar-SA"/>
              </w:rPr>
              <w:t>Varmistetaan, että ruoanvalmistuspisteiden läheisyydessä ei ole palavaa materiaalia. Varmistutaan kunkin laitteen vaatimasta riittävästä suojaetäisyydestä.</w:t>
            </w:r>
          </w:p>
          <w:p>
            <w:pPr>
              <w:pStyle w:val="ListParagraph"/>
              <w:widowControl/>
              <w:numPr>
                <w:ilvl w:val="0"/>
                <w:numId w:val="11"/>
              </w:numPr>
              <w:spacing w:before="0" w:after="0"/>
              <w:ind w:left="357" w:hanging="357"/>
              <w:contextualSpacing/>
              <w:jc w:val="left"/>
              <w:rPr>
                <w:szCs w:val="20"/>
              </w:rPr>
            </w:pPr>
            <w:r>
              <w:rPr>
                <w:rFonts w:eastAsia="Calibri" w:cs=""/>
                <w:kern w:val="0"/>
                <w:szCs w:val="20"/>
                <w:lang w:val="fi-FI" w:eastAsia="en-US" w:bidi="ar-SA"/>
              </w:rPr>
              <w:t>Pidetään poistumisreitit esteettöminä ja helposti avattavina.</w:t>
            </w:r>
          </w:p>
          <w:p>
            <w:pPr>
              <w:pStyle w:val="Normal"/>
              <w:widowControl/>
              <w:spacing w:before="0" w:after="0"/>
              <w:jc w:val="left"/>
              <w:rPr>
                <w:szCs w:val="20"/>
              </w:rPr>
            </w:pPr>
            <w:r>
              <w:rPr>
                <w:rFonts w:eastAsia="Calibri" w:cs=""/>
                <w:kern w:val="0"/>
                <w:szCs w:val="22"/>
                <w:lang w:val="fi-FI" w:eastAsia="en-US" w:bidi="ar-SA"/>
              </w:rPr>
            </w:r>
          </w:p>
        </w:tc>
      </w:tr>
      <w:tr>
        <w:trPr/>
        <w:tc>
          <w:tcPr>
            <w:tcW w:w="2014" w:type="dxa"/>
            <w:tcBorders/>
          </w:tcPr>
          <w:p>
            <w:pPr>
              <w:pStyle w:val="Normal"/>
              <w:widowControl/>
              <w:spacing w:before="0" w:after="0"/>
              <w:jc w:val="left"/>
              <w:rPr>
                <w:sz w:val="22"/>
                <w:szCs w:val="24"/>
              </w:rPr>
            </w:pPr>
            <w:r>
              <w:rPr>
                <w:rFonts w:eastAsia="Calibri" w:cs=""/>
                <w:kern w:val="0"/>
                <w:sz w:val="22"/>
                <w:szCs w:val="24"/>
                <w:lang w:val="fi-FI" w:eastAsia="en-US" w:bidi="ar-SA"/>
              </w:rPr>
              <w:t>Vastuut</w:t>
            </w:r>
          </w:p>
        </w:tc>
        <w:tc>
          <w:tcPr>
            <w:tcW w:w="7613" w:type="dxa"/>
            <w:tcBorders/>
          </w:tcPr>
          <w:p>
            <w:pPr>
              <w:pStyle w:val="Normal"/>
              <w:widowControl/>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widowControl/>
              <w:spacing w:before="0" w:after="0"/>
              <w:jc w:val="left"/>
              <w:rPr>
                <w:sz w:val="22"/>
              </w:rPr>
            </w:pPr>
            <w:r>
              <w:rPr>
                <w:rFonts w:eastAsia="Calibri" w:cs=""/>
                <w:b/>
                <w:kern w:val="0"/>
                <w:sz w:val="22"/>
                <w:szCs w:val="22"/>
                <w:lang w:val="fi-FI" w:eastAsia="en-US" w:bidi="ar-SA"/>
              </w:rPr>
              <w:t>Vaara/riski</w:t>
            </w:r>
          </w:p>
        </w:tc>
        <w:tc>
          <w:tcPr>
            <w:tcW w:w="7613" w:type="dxa"/>
            <w:tcBorders/>
          </w:tcPr>
          <w:p>
            <w:pPr>
              <w:pStyle w:val="Normal"/>
              <w:widowControl/>
              <w:spacing w:before="0" w:after="0"/>
              <w:jc w:val="left"/>
              <w:rPr>
                <w:rFonts w:eastAsia="Calibri" w:cs=""/>
                <w:kern w:val="0"/>
                <w:szCs w:val="22"/>
                <w:lang w:val="fi-FI" w:eastAsia="en-US" w:bidi="ar-SA"/>
              </w:rPr>
            </w:pPr>
            <w:r>
              <w:rPr>
                <w:rFonts w:eastAsia="Calibri" w:cs=""/>
                <w:b/>
                <w:kern w:val="0"/>
                <w:sz w:val="22"/>
                <w:szCs w:val="22"/>
                <w:lang w:val="fi-FI" w:eastAsia="en-US" w:bidi="ar-SA"/>
              </w:rPr>
              <w:t>Sääolosuhde</w:t>
            </w:r>
          </w:p>
        </w:tc>
      </w:tr>
      <w:tr>
        <w:trPr/>
        <w:tc>
          <w:tcPr>
            <w:tcW w:w="2014" w:type="dxa"/>
            <w:tcBorders/>
          </w:tcPr>
          <w:p>
            <w:pPr>
              <w:pStyle w:val="Normal"/>
              <w:widowControl/>
              <w:spacing w:before="0" w:after="0"/>
              <w:jc w:val="left"/>
              <w:rPr>
                <w:sz w:val="22"/>
              </w:rPr>
            </w:pPr>
            <w:r>
              <w:rPr>
                <w:rFonts w:eastAsia="Calibri" w:cs=""/>
                <w:kern w:val="0"/>
                <w:sz w:val="22"/>
                <w:szCs w:val="22"/>
                <w:lang w:val="fi-FI" w:eastAsia="en-US" w:bidi="ar-SA"/>
              </w:rPr>
              <w:t>Syyt</w:t>
            </w:r>
          </w:p>
        </w:tc>
        <w:tc>
          <w:tcPr>
            <w:tcW w:w="7613" w:type="dxa"/>
            <w:tcBorders/>
          </w:tcPr>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poikkeuksellisen kylmä ilma</w:t>
            </w:r>
          </w:p>
          <w:p>
            <w:pPr>
              <w:pStyle w:val="ListParagraph"/>
              <w:widowControl/>
              <w:numPr>
                <w:ilvl w:val="0"/>
                <w:numId w:val="11"/>
              </w:numPr>
              <w:spacing w:before="0" w:after="0"/>
              <w:contextualSpacing/>
              <w:jc w:val="left"/>
              <w:rPr>
                <w:szCs w:val="20"/>
              </w:rPr>
            </w:pPr>
            <w:r>
              <w:rPr>
                <w:rFonts w:eastAsia="Calibri" w:cs=""/>
                <w:kern w:val="0"/>
                <w:szCs w:val="20"/>
                <w:lang w:val="fi-FI" w:eastAsia="en-US" w:bidi="ar-SA"/>
              </w:rPr>
              <w:t>kova tuuli, myrsky, lumisade</w:t>
            </w:r>
          </w:p>
        </w:tc>
      </w:tr>
      <w:tr>
        <w:trPr/>
        <w:tc>
          <w:tcPr>
            <w:tcW w:w="2014" w:type="dxa"/>
            <w:tcBorders/>
          </w:tcPr>
          <w:p>
            <w:pPr>
              <w:pStyle w:val="Normal"/>
              <w:widowControl/>
              <w:spacing w:before="0" w:after="0"/>
              <w:jc w:val="left"/>
              <w:rPr>
                <w:sz w:val="22"/>
              </w:rPr>
            </w:pPr>
            <w:r>
              <w:rPr>
                <w:rFonts w:eastAsia="Calibri" w:cs=""/>
                <w:kern w:val="0"/>
                <w:sz w:val="22"/>
                <w:szCs w:val="22"/>
                <w:lang w:val="fi-FI" w:eastAsia="en-US" w:bidi="ar-SA"/>
              </w:rPr>
              <w:t>Ennaltaehkäisevät järjestelyt ja varautuminen</w:t>
            </w:r>
          </w:p>
        </w:tc>
        <w:tc>
          <w:tcPr>
            <w:tcW w:w="7613" w:type="dxa"/>
            <w:tcBorders/>
          </w:tcPr>
          <w:p>
            <w:pPr>
              <w:pStyle w:val="ListParagraph"/>
              <w:widowControl/>
              <w:numPr>
                <w:ilvl w:val="0"/>
                <w:numId w:val="11"/>
              </w:numPr>
              <w:spacing w:before="0" w:after="0"/>
              <w:ind w:left="357" w:hanging="357"/>
              <w:contextualSpacing/>
              <w:jc w:val="left"/>
              <w:rPr>
                <w:szCs w:val="20"/>
              </w:rPr>
            </w:pPr>
            <w:r>
              <w:rPr>
                <w:rFonts w:eastAsia="Calibri" w:cs=""/>
                <w:kern w:val="0"/>
                <w:szCs w:val="20"/>
                <w:lang w:val="fi-FI" w:eastAsia="en-US" w:bidi="ar-SA"/>
              </w:rPr>
              <w:t>Seurataan sääolosuhteita ja tiedotuksia ennen tapahtumaa ja tapahtuman aikana. Reagoidaan tilanteisiin ennaltaehkäisevästi. Perutaan tai keskeytetään tapahtuma tarvittaessa.</w:t>
            </w:r>
          </w:p>
          <w:p>
            <w:pPr>
              <w:pStyle w:val="ListParagraph"/>
              <w:widowControl/>
              <w:numPr>
                <w:ilvl w:val="0"/>
                <w:numId w:val="13"/>
              </w:numPr>
              <w:spacing w:before="0" w:after="0"/>
              <w:ind w:left="357" w:hanging="357"/>
              <w:contextualSpacing/>
              <w:jc w:val="left"/>
              <w:rPr>
                <w:szCs w:val="20"/>
              </w:rPr>
            </w:pPr>
            <w:r>
              <w:rPr>
                <w:rFonts w:eastAsia="Calibri" w:cs=""/>
                <w:kern w:val="0"/>
                <w:szCs w:val="20"/>
                <w:lang w:val="fi-FI" w:eastAsia="en-US" w:bidi="ar-SA"/>
              </w:rPr>
              <w:t xml:space="preserve">Ohjeistetaan yleisöä varautumaan sään mukaisesti. </w:t>
            </w:r>
          </w:p>
          <w:p>
            <w:pPr>
              <w:pStyle w:val="ListParagraph"/>
              <w:widowControl/>
              <w:numPr>
                <w:ilvl w:val="0"/>
                <w:numId w:val="13"/>
              </w:numPr>
              <w:spacing w:before="0" w:after="0"/>
              <w:ind w:left="357" w:hanging="357"/>
              <w:contextualSpacing/>
              <w:jc w:val="left"/>
              <w:rPr>
                <w:szCs w:val="20"/>
              </w:rPr>
            </w:pPr>
            <w:r>
              <w:rPr>
                <w:rFonts w:eastAsia="Calibri" w:cs=""/>
                <w:kern w:val="0"/>
                <w:szCs w:val="20"/>
                <w:lang w:val="fi-FI" w:eastAsia="en-US" w:bidi="ar-SA"/>
              </w:rPr>
              <w:t xml:space="preserve">Kiinnitetään tilapäiset rakenteet asianmukaisin painoin. </w:t>
            </w:r>
          </w:p>
          <w:p>
            <w:pPr>
              <w:pStyle w:val="ListParagraph"/>
              <w:widowControl/>
              <w:spacing w:before="0" w:after="0"/>
              <w:ind w:left="357" w:hanging="0"/>
              <w:contextualSpacing/>
              <w:jc w:val="left"/>
              <w:rPr>
                <w:szCs w:val="20"/>
              </w:rPr>
            </w:pPr>
            <w:r>
              <w:rPr>
                <w:rFonts w:eastAsia="Calibri" w:cs=""/>
                <w:kern w:val="0"/>
                <w:szCs w:val="22"/>
                <w:lang w:val="fi-FI" w:eastAsia="en-US" w:bidi="ar-SA"/>
              </w:rPr>
            </w:r>
          </w:p>
        </w:tc>
      </w:tr>
      <w:tr>
        <w:trPr/>
        <w:tc>
          <w:tcPr>
            <w:tcW w:w="2014" w:type="dxa"/>
            <w:tcBorders/>
          </w:tcPr>
          <w:p>
            <w:pPr>
              <w:pStyle w:val="Normal"/>
              <w:widowControl/>
              <w:spacing w:before="0" w:after="0"/>
              <w:jc w:val="left"/>
              <w:rPr>
                <w:sz w:val="22"/>
              </w:rPr>
            </w:pPr>
            <w:r>
              <w:rPr>
                <w:rFonts w:eastAsia="Calibri" w:cs=""/>
                <w:kern w:val="0"/>
                <w:sz w:val="22"/>
                <w:szCs w:val="22"/>
                <w:lang w:val="fi-FI" w:eastAsia="en-US" w:bidi="ar-SA"/>
              </w:rPr>
              <w:t>Vastuut</w:t>
            </w:r>
          </w:p>
        </w:tc>
        <w:tc>
          <w:tcPr>
            <w:tcW w:w="7613" w:type="dxa"/>
            <w:tcBorders/>
          </w:tcPr>
          <w:p>
            <w:pPr>
              <w:pStyle w:val="Normal"/>
              <w:widowControl/>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p>
      <w:pPr>
        <w:pStyle w:val="Normal"/>
        <w:spacing w:lineRule="auto" w:line="259" w:before="0" w:after="160"/>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cantSplit w:val="true"/>
        </w:trPr>
        <w:tc>
          <w:tcPr>
            <w:tcW w:w="2014" w:type="dxa"/>
            <w:tcBorders/>
          </w:tcPr>
          <w:p>
            <w:pPr>
              <w:pStyle w:val="Normal"/>
              <w:widowControl/>
              <w:spacing w:before="0" w:after="0"/>
              <w:jc w:val="left"/>
              <w:rPr>
                <w:sz w:val="22"/>
              </w:rPr>
            </w:pPr>
            <w:r>
              <w:rPr>
                <w:rFonts w:eastAsia="Calibri" w:cs=""/>
                <w:b/>
                <w:kern w:val="0"/>
                <w:sz w:val="22"/>
                <w:szCs w:val="22"/>
                <w:lang w:val="fi-FI" w:eastAsia="en-US" w:bidi="ar-SA"/>
              </w:rPr>
              <w:t>Vaara/riski</w:t>
            </w:r>
          </w:p>
        </w:tc>
        <w:tc>
          <w:tcPr>
            <w:tcW w:w="7613" w:type="dxa"/>
            <w:tcBorders/>
          </w:tcPr>
          <w:p>
            <w:pPr>
              <w:pStyle w:val="Normal"/>
              <w:widowControl/>
              <w:spacing w:before="0" w:after="0"/>
              <w:jc w:val="left"/>
              <w:rPr>
                <w:rFonts w:eastAsia="Calibri" w:cs=""/>
                <w:kern w:val="0"/>
                <w:szCs w:val="22"/>
                <w:lang w:val="fi-FI" w:eastAsia="en-US" w:bidi="ar-SA"/>
              </w:rPr>
            </w:pPr>
            <w:r>
              <w:rPr>
                <w:rFonts w:eastAsia="Calibri" w:cs=""/>
                <w:b/>
                <w:kern w:val="0"/>
                <w:sz w:val="22"/>
                <w:szCs w:val="22"/>
                <w:lang w:val="fi-FI" w:eastAsia="en-US" w:bidi="ar-SA"/>
              </w:rPr>
              <w:t>Väentungos</w:t>
            </w:r>
          </w:p>
        </w:tc>
      </w:tr>
      <w:tr>
        <w:trPr>
          <w:cantSplit w:val="true"/>
        </w:trPr>
        <w:tc>
          <w:tcPr>
            <w:tcW w:w="2014" w:type="dxa"/>
            <w:tcBorders/>
          </w:tcPr>
          <w:p>
            <w:pPr>
              <w:pStyle w:val="Normal"/>
              <w:widowControl/>
              <w:spacing w:before="0" w:after="0"/>
              <w:jc w:val="left"/>
              <w:rPr>
                <w:sz w:val="22"/>
              </w:rPr>
            </w:pPr>
            <w:r>
              <w:rPr>
                <w:rFonts w:eastAsia="Calibri" w:cs=""/>
                <w:kern w:val="0"/>
                <w:sz w:val="22"/>
                <w:szCs w:val="24"/>
                <w:lang w:val="fi-FI" w:eastAsia="en-US" w:bidi="ar-SA"/>
              </w:rPr>
              <w:t>Syyt</w:t>
            </w:r>
          </w:p>
        </w:tc>
        <w:tc>
          <w:tcPr>
            <w:tcW w:w="7613" w:type="dxa"/>
            <w:tcBorders/>
          </w:tcPr>
          <w:p>
            <w:pPr>
              <w:pStyle w:val="ListParagraph"/>
              <w:widowControl/>
              <w:numPr>
                <w:ilvl w:val="0"/>
                <w:numId w:val="13"/>
              </w:numPr>
              <w:spacing w:before="0" w:after="0"/>
              <w:ind w:left="357" w:hanging="357"/>
              <w:contextualSpacing/>
              <w:jc w:val="left"/>
              <w:rPr>
                <w:szCs w:val="20"/>
              </w:rPr>
            </w:pPr>
            <w:r>
              <w:rPr>
                <w:rFonts w:eastAsia="Calibri" w:cs=""/>
                <w:kern w:val="0"/>
                <w:szCs w:val="20"/>
                <w:lang w:val="fi-FI" w:eastAsia="en-US" w:bidi="ar-SA"/>
              </w:rPr>
              <w:t>yhtäaikaisesti saapuva tai poistuva suuri ihmismäärä</w:t>
            </w:r>
          </w:p>
          <w:p>
            <w:pPr>
              <w:pStyle w:val="Normal"/>
              <w:widowControl/>
              <w:spacing w:before="0" w:after="0"/>
              <w:jc w:val="left"/>
              <w:rPr>
                <w:szCs w:val="20"/>
              </w:rPr>
            </w:pPr>
            <w:r>
              <w:rPr>
                <w:rFonts w:eastAsia="Calibri" w:cs=""/>
                <w:kern w:val="0"/>
                <w:szCs w:val="22"/>
                <w:lang w:val="fi-FI" w:eastAsia="en-US" w:bidi="ar-SA"/>
              </w:rPr>
            </w:r>
          </w:p>
        </w:tc>
      </w:tr>
      <w:tr>
        <w:trPr>
          <w:cantSplit w:val="true"/>
        </w:trPr>
        <w:tc>
          <w:tcPr>
            <w:tcW w:w="2014" w:type="dxa"/>
            <w:tcBorders/>
          </w:tcPr>
          <w:p>
            <w:pPr>
              <w:pStyle w:val="Normal"/>
              <w:widowControl/>
              <w:spacing w:before="0" w:after="0"/>
              <w:jc w:val="left"/>
              <w:rPr>
                <w:sz w:val="22"/>
              </w:rPr>
            </w:pPr>
            <w:r>
              <w:rPr>
                <w:rFonts w:eastAsia="Calibri" w:cs=""/>
                <w:kern w:val="0"/>
                <w:sz w:val="22"/>
                <w:szCs w:val="24"/>
                <w:lang w:val="fi-FI" w:eastAsia="en-US" w:bidi="ar-SA"/>
              </w:rPr>
              <w:t>Ennaltaehkäisevät järjestelyt ja varautuminen</w:t>
            </w:r>
          </w:p>
        </w:tc>
        <w:tc>
          <w:tcPr>
            <w:tcW w:w="7613" w:type="dxa"/>
            <w:tcBorders/>
          </w:tcPr>
          <w:p>
            <w:pPr>
              <w:pStyle w:val="ListParagraph"/>
              <w:widowControl/>
              <w:numPr>
                <w:ilvl w:val="0"/>
                <w:numId w:val="13"/>
              </w:numPr>
              <w:spacing w:before="0" w:after="0"/>
              <w:ind w:left="357" w:hanging="357"/>
              <w:contextualSpacing/>
              <w:jc w:val="left"/>
              <w:rPr>
                <w:szCs w:val="20"/>
              </w:rPr>
            </w:pPr>
            <w:r>
              <w:rPr>
                <w:rFonts w:eastAsia="Calibri" w:cs=""/>
                <w:kern w:val="0"/>
                <w:szCs w:val="20"/>
                <w:lang w:val="fi-FI" w:eastAsia="en-US" w:bidi="ar-SA"/>
              </w:rPr>
              <w:t xml:space="preserve">Yleisö maksimisssaan 50 henkilöä laajalla ulkoalueella </w:t>
            </w:r>
          </w:p>
          <w:p>
            <w:pPr>
              <w:pStyle w:val="ListParagraph"/>
              <w:widowControl/>
              <w:spacing w:before="0" w:after="0"/>
              <w:ind w:left="357" w:hanging="0"/>
              <w:contextualSpacing/>
              <w:jc w:val="left"/>
              <w:rPr>
                <w:szCs w:val="20"/>
              </w:rPr>
            </w:pPr>
            <w:r>
              <w:rPr>
                <w:rFonts w:eastAsia="Calibri" w:cs=""/>
                <w:kern w:val="0"/>
                <w:szCs w:val="22"/>
                <w:lang w:val="fi-FI" w:eastAsia="en-US" w:bidi="ar-SA"/>
              </w:rPr>
            </w:r>
          </w:p>
        </w:tc>
      </w:tr>
      <w:tr>
        <w:trPr>
          <w:cantSplit w:val="true"/>
        </w:trPr>
        <w:tc>
          <w:tcPr>
            <w:tcW w:w="2014" w:type="dxa"/>
            <w:tcBorders/>
          </w:tcPr>
          <w:p>
            <w:pPr>
              <w:pStyle w:val="Normal"/>
              <w:widowControl/>
              <w:spacing w:before="0" w:after="0"/>
              <w:jc w:val="left"/>
              <w:rPr>
                <w:sz w:val="22"/>
              </w:rPr>
            </w:pPr>
            <w:r>
              <w:rPr>
                <w:rFonts w:eastAsia="Calibri" w:cs=""/>
                <w:kern w:val="0"/>
                <w:sz w:val="22"/>
                <w:szCs w:val="24"/>
                <w:lang w:val="fi-FI" w:eastAsia="en-US" w:bidi="ar-SA"/>
              </w:rPr>
              <w:t>Vastuut</w:t>
            </w:r>
          </w:p>
        </w:tc>
        <w:tc>
          <w:tcPr>
            <w:tcW w:w="7613" w:type="dxa"/>
            <w:tcBorders/>
          </w:tcPr>
          <w:p>
            <w:pPr>
              <w:pStyle w:val="Normal"/>
              <w:widowControl/>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spacing w:before="0" w:after="0"/>
              <w:jc w:val="left"/>
              <w:rPr>
                <w:sz w:val="20"/>
                <w:szCs w:val="20"/>
              </w:rPr>
            </w:pPr>
            <w:r>
              <w:rPr>
                <w:rFonts w:eastAsia="Calibri" w:cs=""/>
                <w:kern w:val="0"/>
                <w:sz w:val="20"/>
                <w:szCs w:val="22"/>
                <w:lang w:val="fi-FI" w:eastAsia="en-US" w:bidi="ar-SA"/>
              </w:rPr>
            </w:r>
          </w:p>
        </w:tc>
      </w:tr>
    </w:tbl>
    <w:p>
      <w:pPr>
        <w:pStyle w:val="Normal"/>
        <w:rPr/>
      </w:pPr>
      <w:r>
        <w:rPr/>
      </w:r>
    </w:p>
    <w:p>
      <w:pPr>
        <w:pStyle w:val="Normal"/>
        <w:rPr/>
      </w:pPr>
      <w:r>
        <w:rPr/>
      </w:r>
    </w:p>
    <w:p>
      <w:pPr>
        <w:sectPr>
          <w:type w:val="nextPage"/>
          <w:pgSz w:w="11906" w:h="16838"/>
          <w:pgMar w:left="1134" w:right="1134" w:gutter="0" w:header="0" w:top="1418" w:footer="0" w:bottom="1418"/>
          <w:pgNumType w:fmt="decimal"/>
          <w:formProt w:val="false"/>
          <w:textDirection w:val="lrTb"/>
          <w:docGrid w:type="default" w:linePitch="360" w:charSpace="0"/>
        </w:sectPr>
        <w:pStyle w:val="Normal"/>
        <w:rPr/>
      </w:pPr>
      <w:r>
        <w:rPr/>
      </w:r>
    </w:p>
    <w:p>
      <w:pPr>
        <w:pStyle w:val="Otsikko1"/>
        <w:numPr>
          <w:ilvl w:val="0"/>
          <w:numId w:val="1"/>
        </w:numPr>
        <w:ind w:left="360" w:hanging="360"/>
        <w:rPr/>
      </w:pPr>
      <w:bookmarkStart w:id="4" w:name="_Toc387754665"/>
      <w:bookmarkStart w:id="5" w:name="_Toc387747995"/>
      <w:r>
        <w:rPr/>
        <w:t>Yksityiskohtaiset turvallisuusjärjestelyt</w:t>
      </w:r>
      <w:bookmarkEnd w:id="4"/>
      <w:bookmarkEnd w:id="5"/>
    </w:p>
    <w:p>
      <w:pPr>
        <w:pStyle w:val="Normal"/>
        <w:rPr/>
      </w:pPr>
      <w:r>
        <w:rPr/>
      </w:r>
    </w:p>
    <w:p>
      <w:pPr>
        <w:pStyle w:val="Alaotsikko"/>
        <w:rPr>
          <w:u w:val="single"/>
        </w:rPr>
      </w:pPr>
      <w:r>
        <w:rPr>
          <w:u w:val="single"/>
        </w:rPr>
        <w:t>Alkusammutuskalusto</w:t>
      </w:r>
    </w:p>
    <w:p>
      <w:pPr>
        <w:pStyle w:val="Normal"/>
        <w:rPr>
          <w:b/>
          <w:b/>
          <w:sz w:val="22"/>
          <w:u w:val="single"/>
        </w:rPr>
      </w:pPr>
      <w:r>
        <w:rPr>
          <w:b/>
          <w:sz w:val="22"/>
          <w:u w:val="single"/>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7567"/>
        <w:gridCol w:w="2070"/>
      </w:tblGrid>
      <w:tr>
        <w:trPr>
          <w:tblHeader w:val="true"/>
        </w:trPr>
        <w:tc>
          <w:tcPr>
            <w:tcW w:w="7567" w:type="dxa"/>
            <w:tcBorders/>
            <w:shd w:color="auto" w:fill="D9D9D9" w:themeFill="background1" w:themeFillShade="d9" w:val="clear"/>
          </w:tcPr>
          <w:p>
            <w:pPr>
              <w:pStyle w:val="Normal"/>
              <w:widowControl/>
              <w:spacing w:before="0" w:after="0"/>
              <w:jc w:val="both"/>
              <w:rPr>
                <w:rFonts w:cs="Arial"/>
                <w:sz w:val="22"/>
              </w:rPr>
            </w:pPr>
            <w:r>
              <w:rPr>
                <w:rFonts w:eastAsia="Calibri" w:cs="Arial"/>
                <w:kern w:val="0"/>
                <w:sz w:val="22"/>
                <w:szCs w:val="22"/>
                <w:lang w:val="fi-FI" w:eastAsia="en-US" w:bidi="ar-SA"/>
              </w:rPr>
              <w:t>Laatu</w:t>
            </w:r>
          </w:p>
        </w:tc>
        <w:tc>
          <w:tcPr>
            <w:tcW w:w="2070" w:type="dxa"/>
            <w:tcBorders/>
            <w:shd w:color="auto" w:fill="D9D9D9" w:themeFill="background1" w:themeFillShade="d9" w:val="clear"/>
          </w:tcPr>
          <w:p>
            <w:pPr>
              <w:pStyle w:val="Normal"/>
              <w:widowControl/>
              <w:spacing w:before="0" w:after="0"/>
              <w:jc w:val="center"/>
              <w:rPr>
                <w:rFonts w:cs="Arial"/>
                <w:sz w:val="22"/>
              </w:rPr>
            </w:pPr>
            <w:r>
              <w:rPr>
                <w:rFonts w:eastAsia="Calibri" w:cs="Arial"/>
                <w:kern w:val="0"/>
                <w:sz w:val="22"/>
                <w:szCs w:val="22"/>
                <w:lang w:val="fi-FI" w:eastAsia="en-US" w:bidi="ar-SA"/>
              </w:rPr>
              <w:t>Määrä (kpl)</w:t>
            </w:r>
          </w:p>
        </w:tc>
      </w:tr>
      <w:tr>
        <w:trPr/>
        <w:tc>
          <w:tcPr>
            <w:tcW w:w="7567" w:type="dxa"/>
            <w:tcBorders/>
          </w:tcPr>
          <w:p>
            <w:pPr>
              <w:pStyle w:val="Normal"/>
              <w:widowControl/>
              <w:spacing w:before="0" w:after="0"/>
              <w:jc w:val="both"/>
              <w:rPr>
                <w:rFonts w:cs="Arial"/>
                <w:sz w:val="22"/>
              </w:rPr>
            </w:pPr>
            <w:r>
              <w:rPr>
                <w:rFonts w:eastAsia="Calibri" w:cs="Arial"/>
                <w:kern w:val="0"/>
                <w:sz w:val="22"/>
                <w:szCs w:val="22"/>
                <w:lang w:val="fi-FI" w:eastAsia="en-US" w:bidi="ar-SA"/>
              </w:rPr>
              <w:t>Jauhesammutin (6 kg)</w:t>
            </w:r>
          </w:p>
        </w:tc>
        <w:tc>
          <w:tcPr>
            <w:tcW w:w="2070" w:type="dxa"/>
            <w:tcBorders/>
          </w:tcPr>
          <w:p>
            <w:pPr>
              <w:pStyle w:val="Normal"/>
              <w:widowControl/>
              <w:spacing w:before="0" w:after="0"/>
              <w:jc w:val="center"/>
              <w:rPr>
                <w:rFonts w:cs="Arial"/>
                <w:sz w:val="22"/>
              </w:rPr>
            </w:pPr>
            <w:r>
              <w:rPr>
                <w:rFonts w:eastAsia="Calibri" w:cs="Arial"/>
                <w:kern w:val="0"/>
                <w:sz w:val="22"/>
                <w:szCs w:val="22"/>
                <w:lang w:val="fi-FI" w:eastAsia="en-US" w:bidi="ar-SA"/>
              </w:rPr>
              <w:t>2</w:t>
            </w:r>
          </w:p>
        </w:tc>
      </w:tr>
      <w:tr>
        <w:trPr/>
        <w:tc>
          <w:tcPr>
            <w:tcW w:w="7567" w:type="dxa"/>
            <w:tcBorders/>
          </w:tcPr>
          <w:p>
            <w:pPr>
              <w:pStyle w:val="Normal"/>
              <w:widowControl/>
              <w:spacing w:before="0" w:after="0"/>
              <w:jc w:val="both"/>
              <w:rPr>
                <w:rFonts w:cs="Arial"/>
                <w:sz w:val="22"/>
              </w:rPr>
            </w:pPr>
            <w:r>
              <w:rPr>
                <w:rFonts w:eastAsia="Calibri" w:cs="Arial"/>
                <w:kern w:val="0"/>
                <w:sz w:val="22"/>
                <w:szCs w:val="22"/>
                <w:lang w:val="fi-FI" w:eastAsia="en-US" w:bidi="ar-SA"/>
              </w:rPr>
              <w:t>Nestesammutin (6 l)</w:t>
            </w:r>
          </w:p>
        </w:tc>
        <w:tc>
          <w:tcPr>
            <w:tcW w:w="2070"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567" w:type="dxa"/>
            <w:tcBorders/>
          </w:tcPr>
          <w:p>
            <w:pPr>
              <w:pStyle w:val="Normal"/>
              <w:widowControl/>
              <w:spacing w:before="0" w:after="0"/>
              <w:jc w:val="both"/>
              <w:rPr>
                <w:rFonts w:cs="Arial"/>
                <w:sz w:val="22"/>
              </w:rPr>
            </w:pPr>
            <w:r>
              <w:rPr>
                <w:rFonts w:eastAsia="Calibri" w:cs="Arial"/>
                <w:kern w:val="0"/>
                <w:sz w:val="22"/>
                <w:szCs w:val="22"/>
                <w:lang w:val="fi-FI" w:eastAsia="en-US" w:bidi="ar-SA"/>
              </w:rPr>
              <w:t>Vaahtosammutin (6 l)</w:t>
            </w:r>
          </w:p>
        </w:tc>
        <w:tc>
          <w:tcPr>
            <w:tcW w:w="2070"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567" w:type="dxa"/>
            <w:tcBorders/>
          </w:tcPr>
          <w:p>
            <w:pPr>
              <w:pStyle w:val="Normal"/>
              <w:widowControl/>
              <w:spacing w:before="0" w:after="0"/>
              <w:jc w:val="both"/>
              <w:rPr>
                <w:rFonts w:cs="Arial"/>
                <w:sz w:val="22"/>
              </w:rPr>
            </w:pPr>
            <w:r>
              <w:rPr>
                <w:rFonts w:eastAsia="Calibri" w:cs="Arial"/>
                <w:kern w:val="0"/>
                <w:sz w:val="22"/>
                <w:szCs w:val="22"/>
                <w:lang w:val="fi-FI" w:eastAsia="en-US" w:bidi="ar-SA"/>
              </w:rPr>
              <w:t>Hiilidioksidisammutin (co</w:t>
            </w:r>
            <w:r>
              <w:rPr>
                <w:rFonts w:eastAsia="Calibri" w:cs="Arial"/>
                <w:kern w:val="0"/>
                <w:sz w:val="22"/>
                <w:szCs w:val="22"/>
                <w:vertAlign w:val="subscript"/>
                <w:lang w:val="fi-FI" w:eastAsia="en-US" w:bidi="ar-SA"/>
              </w:rPr>
              <w:t>2</w:t>
            </w:r>
            <w:r>
              <w:rPr>
                <w:rFonts w:eastAsia="Calibri" w:cs="Arial"/>
                <w:kern w:val="0"/>
                <w:sz w:val="22"/>
                <w:szCs w:val="22"/>
                <w:lang w:val="fi-FI" w:eastAsia="en-US" w:bidi="ar-SA"/>
              </w:rPr>
              <w:t>, 5 kg)</w:t>
            </w:r>
          </w:p>
        </w:tc>
        <w:tc>
          <w:tcPr>
            <w:tcW w:w="2070"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567" w:type="dxa"/>
            <w:tcBorders/>
          </w:tcPr>
          <w:p>
            <w:pPr>
              <w:pStyle w:val="Normal"/>
              <w:widowControl/>
              <w:spacing w:before="0" w:after="0"/>
              <w:jc w:val="both"/>
              <w:rPr>
                <w:rFonts w:cs="Arial"/>
                <w:sz w:val="22"/>
              </w:rPr>
            </w:pPr>
            <w:r>
              <w:rPr>
                <w:rFonts w:eastAsia="Calibri" w:cs="Arial"/>
                <w:kern w:val="0"/>
                <w:sz w:val="22"/>
                <w:szCs w:val="22"/>
                <w:lang w:val="fi-FI" w:eastAsia="en-US" w:bidi="ar-SA"/>
              </w:rPr>
              <w:t>Pikapaloposti</w:t>
            </w:r>
          </w:p>
        </w:tc>
        <w:tc>
          <w:tcPr>
            <w:tcW w:w="2070"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567" w:type="dxa"/>
            <w:tcBorders/>
          </w:tcPr>
          <w:p>
            <w:pPr>
              <w:pStyle w:val="Normal"/>
              <w:widowControl/>
              <w:spacing w:before="0" w:after="0"/>
              <w:jc w:val="both"/>
              <w:rPr>
                <w:rFonts w:cs="Arial"/>
                <w:sz w:val="22"/>
              </w:rPr>
            </w:pPr>
            <w:r>
              <w:rPr>
                <w:rFonts w:eastAsia="Calibri" w:cs="Arial"/>
                <w:kern w:val="0"/>
                <w:sz w:val="22"/>
                <w:szCs w:val="22"/>
                <w:lang w:val="fi-FI" w:eastAsia="en-US" w:bidi="ar-SA"/>
              </w:rPr>
              <w:t>Sammutuspeite</w:t>
            </w:r>
          </w:p>
        </w:tc>
        <w:tc>
          <w:tcPr>
            <w:tcW w:w="2070"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567" w:type="dxa"/>
            <w:tcBorders/>
          </w:tcPr>
          <w:p>
            <w:pPr>
              <w:pStyle w:val="Normal"/>
              <w:widowControl/>
              <w:spacing w:before="0" w:after="0"/>
              <w:jc w:val="both"/>
              <w:rPr>
                <w:rFonts w:cs="Arial"/>
                <w:sz w:val="22"/>
              </w:rPr>
            </w:pPr>
            <w:r>
              <w:rPr>
                <w:rFonts w:eastAsia="Calibri" w:cs="Arial"/>
                <w:kern w:val="0"/>
                <w:sz w:val="22"/>
                <w:szCs w:val="22"/>
                <w:lang w:val="fi-FI" w:eastAsia="en-US" w:bidi="ar-SA"/>
              </w:rPr>
              <w:t xml:space="preserve">Muu, mikä? </w:t>
            </w:r>
          </w:p>
        </w:tc>
        <w:tc>
          <w:tcPr>
            <w:tcW w:w="2070"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bl>
    <w:p>
      <w:pPr>
        <w:pStyle w:val="Normal"/>
        <w:jc w:val="both"/>
        <w:rPr>
          <w:rFonts w:cs="Arial"/>
          <w:szCs w:val="20"/>
        </w:rPr>
      </w:pPr>
      <w:r>
        <w:rPr>
          <w:rFonts w:cs="Arial"/>
          <w:szCs w:val="20"/>
        </w:rPr>
      </w:r>
    </w:p>
    <w:p>
      <w:pPr>
        <w:pStyle w:val="Normal"/>
        <w:jc w:val="both"/>
        <w:rPr>
          <w:rFonts w:eastAsia="Calibri" w:cs="Arial"/>
          <w:sz w:val="22"/>
        </w:rPr>
      </w:pPr>
      <w:r>
        <w:rPr>
          <w:rFonts w:eastAsia="Calibri" w:cs="Arial"/>
          <w:sz w:val="22"/>
        </w:rPr>
        <w:t xml:space="preserve">Alkusammutuskalusto on merkitty opastein ja kaikki alkusammuttimet ovat esteettömästi saatavilla. Opasteiden näkyvyyden osalta on otettu huomioon tilapäiset rakenteet ja sisusteet. Alkusammutuskaluston käytettävyys ja esteettömyys tarkastetaan ennen tapahtuman alkua sekä säännöllisesti tapahtuman aikana. </w:t>
      </w:r>
    </w:p>
    <w:p>
      <w:pPr>
        <w:pStyle w:val="Normal"/>
        <w:jc w:val="both"/>
        <w:rPr>
          <w:rFonts w:cs="Arial"/>
          <w:b/>
          <w:b/>
          <w:sz w:val="22"/>
          <w:u w:val="single"/>
        </w:rPr>
      </w:pPr>
      <w:r>
        <w:rPr>
          <w:rFonts w:cs="Arial"/>
          <w:b/>
          <w:sz w:val="22"/>
          <w:u w:val="single"/>
        </w:rPr>
      </w:r>
    </w:p>
    <w:p>
      <w:pPr>
        <w:pStyle w:val="Alaotsikko"/>
        <w:rPr>
          <w:u w:val="single"/>
        </w:rPr>
      </w:pPr>
      <w:r>
        <w:rPr>
          <w:u w:val="single"/>
        </w:rPr>
        <w:t>Ensiapujärjestelyt</w:t>
      </w:r>
    </w:p>
    <w:p>
      <w:pPr>
        <w:pStyle w:val="Normal"/>
        <w:jc w:val="both"/>
        <w:rPr>
          <w:rFonts w:cs="Arial"/>
          <w:sz w:val="22"/>
        </w:rPr>
      </w:pPr>
      <w:r>
        <w:rPr>
          <w:rFonts w:cs="Arial"/>
          <w:sz w:val="22"/>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783"/>
        <w:gridCol w:w="6854"/>
      </w:tblGrid>
      <w:tr>
        <w:trPr>
          <w:trHeight w:val="779" w:hRule="atLeast"/>
        </w:trPr>
        <w:tc>
          <w:tcPr>
            <w:tcW w:w="2783" w:type="dxa"/>
            <w:tcBorders/>
          </w:tcPr>
          <w:p>
            <w:pPr>
              <w:pStyle w:val="Normal"/>
              <w:widowControl/>
              <w:spacing w:before="0" w:after="0"/>
              <w:jc w:val="both"/>
              <w:rPr>
                <w:rFonts w:cs="Arial"/>
                <w:sz w:val="22"/>
              </w:rPr>
            </w:pPr>
            <w:r>
              <w:rPr>
                <w:rFonts w:eastAsia="Calibri" w:cs="Arial"/>
                <w:kern w:val="0"/>
                <w:sz w:val="22"/>
                <w:szCs w:val="22"/>
                <w:lang w:val="fi-FI" w:eastAsia="en-US" w:bidi="ar-SA"/>
              </w:rPr>
              <w:t xml:space="preserve">Ensiapu  </w:t>
            </w:r>
          </w:p>
        </w:tc>
        <w:tc>
          <w:tcPr>
            <w:tcW w:w="6854" w:type="dxa"/>
            <w:tcBorders/>
          </w:tcPr>
          <w:p>
            <w:pPr>
              <w:pStyle w:val="Normal"/>
              <w:widowControl/>
              <w:spacing w:before="0" w:after="0"/>
              <w:jc w:val="both"/>
              <w:rPr>
                <w:rFonts w:cs="Arial"/>
                <w:sz w:val="22"/>
              </w:rPr>
            </w:pPr>
            <w:r>
              <w:rPr>
                <w:rFonts w:eastAsia="Calibri" w:cs="Arial"/>
                <w:kern w:val="0"/>
                <w:sz w:val="22"/>
                <w:szCs w:val="22"/>
                <w:lang w:val="fi-FI" w:eastAsia="en-US" w:bidi="ar-SA"/>
              </w:rPr>
              <w:t>Varsinaista ensiapua ei ole alueella järjestetty. Etelä-Pohjanmaan keskussairaala on lähin ensiapupiste noin 2 km päässä. Akuuteissa tapauksissa soitto numeroon 112</w:t>
            </w:r>
          </w:p>
          <w:p>
            <w:pPr>
              <w:pStyle w:val="Normal"/>
              <w:widowControl/>
              <w:spacing w:before="0" w:after="0"/>
              <w:jc w:val="both"/>
              <w:rPr>
                <w:rFonts w:cs="Arial"/>
                <w:sz w:val="22"/>
              </w:rPr>
            </w:pPr>
            <w:r>
              <w:rPr>
                <w:rFonts w:eastAsia="Calibri" w:cs="Arial"/>
                <w:kern w:val="0"/>
                <w:sz w:val="22"/>
                <w:szCs w:val="22"/>
                <w:lang w:val="fi-FI" w:eastAsia="en-US" w:bidi="ar-SA"/>
              </w:rPr>
              <w:t xml:space="preserve">Alueella on varattuna moottorikelkka jonka avulla voidaan tarvittaessa kuljettaa maastossa loukkaanunut poilas hoitoon   </w:t>
            </w:r>
          </w:p>
        </w:tc>
      </w:tr>
      <w:tr>
        <w:trPr>
          <w:trHeight w:val="355" w:hRule="atLeast"/>
        </w:trPr>
        <w:tc>
          <w:tcPr>
            <w:tcW w:w="2783" w:type="dxa"/>
            <w:tcBorders/>
          </w:tcPr>
          <w:p>
            <w:pPr>
              <w:pStyle w:val="Normal"/>
              <w:widowControl/>
              <w:spacing w:before="0" w:after="0"/>
              <w:jc w:val="both"/>
              <w:rPr>
                <w:rFonts w:cs="Arial"/>
                <w:sz w:val="22"/>
              </w:rPr>
            </w:pPr>
            <w:r>
              <w:rPr>
                <w:rFonts w:eastAsia="Calibri" w:cs="Arial"/>
                <w:kern w:val="0"/>
                <w:sz w:val="22"/>
                <w:szCs w:val="22"/>
                <w:lang w:val="fi-FI" w:eastAsia="en-US" w:bidi="ar-SA"/>
              </w:rPr>
              <w:t>Ensiapumateriaali</w:t>
            </w:r>
          </w:p>
        </w:tc>
        <w:tc>
          <w:tcPr>
            <w:tcW w:w="6854" w:type="dxa"/>
            <w:tcBorders/>
          </w:tcPr>
          <w:p>
            <w:pPr>
              <w:pStyle w:val="Normal"/>
              <w:widowControl/>
              <w:spacing w:before="0" w:after="0"/>
              <w:jc w:val="both"/>
              <w:rPr>
                <w:rFonts w:cs="Arial"/>
                <w:sz w:val="22"/>
              </w:rPr>
            </w:pPr>
            <w:r>
              <w:rPr>
                <w:rFonts w:eastAsia="Calibri" w:cs="Arial"/>
                <w:i/>
                <w:kern w:val="0"/>
                <w:sz w:val="22"/>
                <w:szCs w:val="22"/>
                <w:lang w:val="fi-FI" w:eastAsia="en-US" w:bidi="ar-SA"/>
              </w:rPr>
              <w:t xml:space="preserve">Alueella on ensiapupakkaus pikaensiapua varten </w:t>
            </w:r>
          </w:p>
        </w:tc>
      </w:tr>
    </w:tbl>
    <w:p>
      <w:pPr>
        <w:pStyle w:val="Normal"/>
        <w:jc w:val="both"/>
        <w:rPr>
          <w:rFonts w:ascii="Univers LT Std 45 Light" w:hAnsi="Univers LT Std 45 Light"/>
          <w:sz w:val="22"/>
        </w:rPr>
      </w:pPr>
      <w:r>
        <w:rPr>
          <w:rFonts w:ascii="Univers LT Std 45 Light" w:hAnsi="Univers LT Std 45 Light"/>
          <w:sz w:val="22"/>
        </w:rPr>
      </w:r>
    </w:p>
    <w:p>
      <w:pPr>
        <w:pStyle w:val="Alaotsikko"/>
        <w:rPr>
          <w:u w:val="single"/>
        </w:rPr>
      </w:pPr>
      <w:r>
        <w:rPr>
          <w:u w:val="single"/>
        </w:rPr>
        <w:t>Henkilömäärä</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813"/>
        <w:gridCol w:w="2411"/>
        <w:gridCol w:w="2414"/>
      </w:tblGrid>
      <w:tr>
        <w:trPr/>
        <w:tc>
          <w:tcPr>
            <w:tcW w:w="4813" w:type="dxa"/>
            <w:vMerge w:val="restart"/>
            <w:tcBorders/>
          </w:tcPr>
          <w:p>
            <w:pPr>
              <w:pStyle w:val="Normal"/>
              <w:widowControl/>
              <w:spacing w:before="0" w:after="0"/>
              <w:jc w:val="both"/>
              <w:rPr>
                <w:rFonts w:cs="Arial"/>
                <w:sz w:val="22"/>
              </w:rPr>
            </w:pPr>
            <w:r>
              <w:rPr>
                <w:rFonts w:eastAsia="Calibri" w:cs="Arial"/>
                <w:kern w:val="0"/>
                <w:sz w:val="22"/>
                <w:szCs w:val="22"/>
                <w:lang w:val="fi-FI" w:eastAsia="en-US" w:bidi="ar-SA"/>
              </w:rPr>
              <w:t xml:space="preserve">Tapahtuma järjestetään </w:t>
            </w:r>
            <w:r>
              <w:rPr>
                <w:rFonts w:eastAsia="Calibri" w:cs="Arial"/>
                <w:i/>
                <w:kern w:val="0"/>
                <w:sz w:val="22"/>
                <w:szCs w:val="22"/>
                <w:lang w:val="fi-FI" w:eastAsia="en-US" w:bidi="ar-SA"/>
              </w:rPr>
              <w:t>(raksita oikea ruutu tai ruudut)</w:t>
            </w:r>
          </w:p>
        </w:tc>
        <w:tc>
          <w:tcPr>
            <w:tcW w:w="2411" w:type="dxa"/>
            <w:tcBorders/>
          </w:tcPr>
          <w:p>
            <w:pPr>
              <w:pStyle w:val="Normal"/>
              <w:widowControl/>
              <w:spacing w:before="0" w:after="0"/>
              <w:jc w:val="center"/>
              <w:rPr>
                <w:rFonts w:cs="Arial"/>
                <w:sz w:val="22"/>
              </w:rPr>
            </w:pPr>
            <w:r>
              <w:rPr>
                <w:rFonts w:eastAsia="Calibri" w:cs="Arial"/>
                <w:kern w:val="0"/>
                <w:sz w:val="22"/>
                <w:szCs w:val="22"/>
                <w:lang w:val="fi-FI" w:eastAsia="en-US" w:bidi="ar-SA"/>
              </w:rPr>
              <w:t>Ulkotiloissa</w:t>
            </w:r>
          </w:p>
        </w:tc>
        <w:tc>
          <w:tcPr>
            <w:tcW w:w="2414" w:type="dxa"/>
            <w:tcBorders/>
          </w:tcPr>
          <w:p>
            <w:pPr>
              <w:pStyle w:val="Normal"/>
              <w:widowControl/>
              <w:spacing w:before="0" w:after="0"/>
              <w:jc w:val="center"/>
              <w:rPr>
                <w:rFonts w:cs="Arial"/>
                <w:sz w:val="22"/>
              </w:rPr>
            </w:pPr>
            <w:r>
              <w:rPr>
                <w:rFonts w:eastAsia="Calibri" w:cs="Arial"/>
                <w:kern w:val="0"/>
                <w:sz w:val="22"/>
                <w:szCs w:val="22"/>
                <w:lang w:val="fi-FI" w:eastAsia="en-US" w:bidi="ar-SA"/>
              </w:rPr>
              <w:t>Sisätiloissa</w:t>
            </w:r>
          </w:p>
        </w:tc>
      </w:tr>
      <w:tr>
        <w:trPr/>
        <w:tc>
          <w:tcPr>
            <w:tcW w:w="4813" w:type="dxa"/>
            <w:vMerge w:val="continue"/>
            <w:tcBorders/>
          </w:tcPr>
          <w:p>
            <w:pPr>
              <w:pStyle w:val="Normal"/>
              <w:widowControl/>
              <w:spacing w:before="0" w:after="0"/>
              <w:jc w:val="both"/>
              <w:rPr>
                <w:rFonts w:cs="Arial"/>
                <w:sz w:val="22"/>
              </w:rPr>
            </w:pPr>
            <w:r>
              <w:rPr>
                <w:rFonts w:eastAsia="Calibri" w:cs="Arial"/>
                <w:kern w:val="0"/>
                <w:sz w:val="22"/>
                <w:szCs w:val="22"/>
                <w:lang w:val="fi-FI" w:eastAsia="en-US" w:bidi="ar-SA"/>
              </w:rPr>
            </w:r>
          </w:p>
        </w:tc>
        <w:tc>
          <w:tcPr>
            <w:tcW w:w="2411" w:type="dxa"/>
            <w:tcBorders/>
          </w:tcPr>
          <w:p>
            <w:pPr>
              <w:pStyle w:val="Normal"/>
              <w:widowControl/>
              <w:spacing w:before="0" w:after="0"/>
              <w:jc w:val="center"/>
              <w:rPr>
                <w:rFonts w:cs="Arial"/>
                <w:sz w:val="22"/>
              </w:rPr>
            </w:pPr>
            <w:r>
              <w:rPr>
                <w:rFonts w:eastAsia="Calibri" w:cs="Arial"/>
                <w:kern w:val="0"/>
                <w:sz w:val="22"/>
                <w:szCs w:val="22"/>
                <w:lang w:val="fi-FI" w:eastAsia="en-US" w:bidi="ar-SA"/>
              </w:rPr>
              <w:t>X</w:t>
            </w:r>
          </w:p>
        </w:tc>
        <w:tc>
          <w:tcPr>
            <w:tcW w:w="2414"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4813" w:type="dxa"/>
            <w:tcBorders/>
          </w:tcPr>
          <w:p>
            <w:pPr>
              <w:pStyle w:val="Normal"/>
              <w:widowControl/>
              <w:spacing w:before="0" w:after="0"/>
              <w:jc w:val="both"/>
              <w:rPr>
                <w:rFonts w:cs="Arial"/>
                <w:sz w:val="22"/>
              </w:rPr>
            </w:pPr>
            <w:r>
              <w:rPr>
                <w:rFonts w:eastAsia="Calibri" w:cs="Arial"/>
                <w:kern w:val="0"/>
                <w:sz w:val="22"/>
                <w:szCs w:val="22"/>
                <w:lang w:val="fi-FI" w:eastAsia="en-US" w:bidi="ar-SA"/>
              </w:rPr>
              <w:t>Arvio samanaikaisesti läsnä olevan yleisön maksimimäärästä</w:t>
            </w:r>
          </w:p>
        </w:tc>
        <w:tc>
          <w:tcPr>
            <w:tcW w:w="4825" w:type="dxa"/>
            <w:gridSpan w:val="2"/>
            <w:tcBorders/>
          </w:tcPr>
          <w:p>
            <w:pPr>
              <w:pStyle w:val="Normal"/>
              <w:widowControl/>
              <w:spacing w:before="0" w:after="0"/>
              <w:jc w:val="both"/>
              <w:rPr>
                <w:rFonts w:cs="Arial"/>
                <w:i/>
                <w:i/>
                <w:sz w:val="22"/>
              </w:rPr>
            </w:pPr>
            <w:r>
              <w:rPr>
                <w:rFonts w:eastAsia="Calibri" w:cs="Arial"/>
                <w:i/>
                <w:kern w:val="0"/>
                <w:sz w:val="22"/>
                <w:szCs w:val="22"/>
                <w:lang w:val="fi-FI" w:eastAsia="en-US" w:bidi="ar-SA"/>
              </w:rPr>
              <w:t>max 50 henkeä</w:t>
            </w:r>
          </w:p>
        </w:tc>
      </w:tr>
      <w:tr>
        <w:trPr/>
        <w:tc>
          <w:tcPr>
            <w:tcW w:w="4813" w:type="dxa"/>
            <w:tcBorders/>
          </w:tcPr>
          <w:p>
            <w:pPr>
              <w:pStyle w:val="Normal"/>
              <w:widowControl/>
              <w:spacing w:before="0" w:after="0"/>
              <w:jc w:val="both"/>
              <w:rPr>
                <w:rFonts w:cs="Arial"/>
                <w:sz w:val="22"/>
              </w:rPr>
            </w:pPr>
            <w:r>
              <w:rPr>
                <w:rFonts w:eastAsia="Calibri" w:cs="Arial"/>
                <w:kern w:val="0"/>
                <w:sz w:val="22"/>
                <w:szCs w:val="22"/>
                <w:lang w:val="fi-FI" w:eastAsia="en-US" w:bidi="ar-SA"/>
              </w:rPr>
              <w:t>Arvio samanaikaisesti läsnä olevan henkilökunnan määrästä</w:t>
            </w:r>
          </w:p>
        </w:tc>
        <w:tc>
          <w:tcPr>
            <w:tcW w:w="4825" w:type="dxa"/>
            <w:gridSpan w:val="2"/>
            <w:tcBorders/>
          </w:tcPr>
          <w:p>
            <w:pPr>
              <w:pStyle w:val="Normal"/>
              <w:widowControl/>
              <w:spacing w:before="0" w:after="0"/>
              <w:jc w:val="both"/>
              <w:rPr>
                <w:rFonts w:cs="Arial"/>
                <w:sz w:val="22"/>
              </w:rPr>
            </w:pPr>
            <w:r>
              <w:rPr>
                <w:rFonts w:eastAsia="Calibri" w:cs="Arial"/>
                <w:i/>
                <w:kern w:val="0"/>
                <w:sz w:val="22"/>
                <w:szCs w:val="22"/>
                <w:lang w:val="fi-FI" w:eastAsia="en-US" w:bidi="ar-SA"/>
              </w:rPr>
              <w:t>(30 toimitsijaa)</w:t>
            </w:r>
          </w:p>
        </w:tc>
      </w:tr>
      <w:tr>
        <w:trPr/>
        <w:tc>
          <w:tcPr>
            <w:tcW w:w="4813" w:type="dxa"/>
            <w:tcBorders/>
          </w:tcPr>
          <w:p>
            <w:pPr>
              <w:pStyle w:val="Normal"/>
              <w:widowControl/>
              <w:spacing w:before="0" w:after="0"/>
              <w:jc w:val="both"/>
              <w:rPr>
                <w:rFonts w:cs="Arial"/>
                <w:sz w:val="22"/>
              </w:rPr>
            </w:pPr>
            <w:r>
              <w:rPr>
                <w:rFonts w:eastAsia="Calibri" w:cs="Arial"/>
                <w:kern w:val="0"/>
                <w:sz w:val="22"/>
                <w:szCs w:val="22"/>
                <w:lang w:val="fi-FI" w:eastAsia="en-US" w:bidi="ar-SA"/>
              </w:rPr>
              <w:t>Tapahtumatilan, yleisöteltan tai muun vastaavan rakennelman maksimihenkilömäärä</w:t>
            </w:r>
          </w:p>
        </w:tc>
        <w:tc>
          <w:tcPr>
            <w:tcW w:w="4825" w:type="dxa"/>
            <w:gridSpan w:val="2"/>
            <w:tcBorders/>
          </w:tcPr>
          <w:p>
            <w:pPr>
              <w:pStyle w:val="Normal"/>
              <w:widowControl/>
              <w:spacing w:before="0" w:after="0"/>
              <w:jc w:val="both"/>
              <w:rPr>
                <w:rFonts w:cs="Arial"/>
                <w:i/>
                <w:i/>
                <w:sz w:val="22"/>
              </w:rPr>
            </w:pPr>
            <w:r>
              <w:rPr>
                <w:rFonts w:eastAsia="Calibri" w:cs="Arial"/>
                <w:i/>
                <w:kern w:val="0"/>
                <w:sz w:val="22"/>
                <w:szCs w:val="22"/>
                <w:lang w:val="fi-FI" w:eastAsia="en-US" w:bidi="ar-SA"/>
              </w:rPr>
              <w:t>(kuvaa tässä tilojen nimet ja rakennusluvan mukaiset maksimihenkilömäärät)</w:t>
            </w:r>
          </w:p>
        </w:tc>
      </w:tr>
      <w:tr>
        <w:trPr/>
        <w:tc>
          <w:tcPr>
            <w:tcW w:w="4813" w:type="dxa"/>
            <w:tcBorders/>
          </w:tcPr>
          <w:p>
            <w:pPr>
              <w:pStyle w:val="Normal"/>
              <w:widowControl/>
              <w:spacing w:before="0" w:after="0"/>
              <w:jc w:val="both"/>
              <w:rPr>
                <w:rFonts w:cs="Arial"/>
                <w:sz w:val="22"/>
              </w:rPr>
            </w:pPr>
            <w:r>
              <w:rPr>
                <w:rFonts w:eastAsia="Calibri" w:cs="Arial"/>
                <w:kern w:val="0"/>
                <w:sz w:val="22"/>
                <w:szCs w:val="22"/>
                <w:lang w:val="fi-FI" w:eastAsia="en-US" w:bidi="ar-SA"/>
              </w:rPr>
              <w:t>Ulkotapahtuman laskennallinen maksimihenkilömäärä:</w:t>
            </w:r>
          </w:p>
        </w:tc>
        <w:tc>
          <w:tcPr>
            <w:tcW w:w="4825" w:type="dxa"/>
            <w:gridSpan w:val="2"/>
            <w:tcBorders/>
          </w:tcPr>
          <w:p>
            <w:pPr>
              <w:pStyle w:val="Normal"/>
              <w:widowControl/>
              <w:spacing w:before="0" w:after="0"/>
              <w:jc w:val="both"/>
              <w:rPr>
                <w:rFonts w:cs="Arial"/>
                <w:i/>
                <w:i/>
                <w:sz w:val="22"/>
              </w:rPr>
            </w:pPr>
            <w:r>
              <w:rPr>
                <w:rFonts w:eastAsia="Calibri" w:cs="Arial"/>
                <w:i/>
                <w:kern w:val="0"/>
                <w:sz w:val="22"/>
                <w:szCs w:val="22"/>
                <w:lang w:val="fi-FI" w:eastAsia="en-US" w:bidi="ar-SA"/>
              </w:rPr>
              <w:t xml:space="preserve">200 urheilijaa, 150 huoltajaa ja 30 toimitsijaa </w:t>
            </w:r>
          </w:p>
          <w:p>
            <w:pPr>
              <w:pStyle w:val="Normal"/>
              <w:widowControl/>
              <w:spacing w:before="0" w:after="0"/>
              <w:jc w:val="both"/>
              <w:rPr>
                <w:rFonts w:cs="Arial"/>
                <w:i/>
                <w:i/>
                <w:sz w:val="22"/>
              </w:rPr>
            </w:pPr>
            <w:r>
              <w:rPr>
                <w:rFonts w:eastAsia="Calibri" w:cs="Arial"/>
                <w:i/>
                <w:kern w:val="0"/>
                <w:sz w:val="22"/>
                <w:szCs w:val="22"/>
                <w:lang w:val="fi-FI" w:eastAsia="en-US" w:bidi="ar-SA"/>
              </w:rPr>
              <w:t>50 yleisöä</w:t>
            </w:r>
          </w:p>
        </w:tc>
      </w:tr>
    </w:tbl>
    <w:p>
      <w:pPr>
        <w:pStyle w:val="Normal"/>
        <w:jc w:val="both"/>
        <w:rPr>
          <w:rFonts w:cs="Arial"/>
          <w:sz w:val="22"/>
        </w:rPr>
      </w:pPr>
      <w:r>
        <w:rPr>
          <w:rFonts w:cs="Arial"/>
          <w:sz w:val="22"/>
        </w:rPr>
      </w:r>
    </w:p>
    <w:p>
      <w:pPr>
        <w:pStyle w:val="Normal"/>
        <w:rPr>
          <w:rFonts w:cs="Arial"/>
          <w:b/>
          <w:b/>
          <w:sz w:val="22"/>
          <w:u w:val="single"/>
        </w:rPr>
      </w:pPr>
      <w:r>
        <w:rPr>
          <w:rFonts w:cs="Arial"/>
          <w:b/>
          <w:sz w:val="22"/>
          <w:u w:val="single"/>
        </w:rPr>
      </w:r>
    </w:p>
    <w:p>
      <w:pPr>
        <w:pStyle w:val="Alaotsikko"/>
        <w:rPr>
          <w:rFonts w:eastAsia="Calibri"/>
          <w:u w:val="single"/>
        </w:rPr>
      </w:pPr>
      <w:r>
        <w:rPr>
          <w:rFonts w:eastAsia="Calibri"/>
          <w:u w:val="single"/>
        </w:rPr>
        <w:t>Pelastustiet ja muut ajoreitit tapahtumapaikalle</w:t>
      </w:r>
    </w:p>
    <w:p>
      <w:pPr>
        <w:pStyle w:val="Normal"/>
        <w:jc w:val="both"/>
        <w:rPr>
          <w:rFonts w:cs="Arial"/>
          <w:sz w:val="22"/>
        </w:rPr>
      </w:pPr>
      <w:r>
        <w:rPr>
          <w:rFonts w:cs="Arial"/>
          <w:sz w:val="22"/>
        </w:rPr>
      </w:r>
    </w:p>
    <w:p>
      <w:pPr>
        <w:pStyle w:val="Normal"/>
        <w:jc w:val="both"/>
        <w:rPr>
          <w:rFonts w:cs="Arial"/>
          <w:sz w:val="22"/>
        </w:rPr>
      </w:pPr>
      <w:r>
        <w:rPr>
          <w:rFonts w:eastAsia="Calibri" w:cs="Arial"/>
          <w:sz w:val="22"/>
        </w:rPr>
        <w:t xml:space="preserve">Pelastustie on hälytysajoneuvoille tarkoitettu ajotie. Pelastusteiden ja muiden ajoreittien esteettömyys tarkastetaan ennen tapahtuman alkua sekä säännöllisesti tapahtuman aikana. </w:t>
      </w:r>
      <w:r>
        <w:rPr>
          <w:rFonts w:cs="Arial"/>
          <w:sz w:val="22"/>
        </w:rPr>
        <w:t xml:space="preserve">Liitteenä olevaan pohjakarttaan on merkitty </w:t>
      </w:r>
      <w:r>
        <w:rPr>
          <w:rFonts w:eastAsia="Calibri" w:cs="Arial"/>
          <w:sz w:val="22"/>
        </w:rPr>
        <w:t>pelastusteiden ja muiden ajoreittien sijainnit</w:t>
      </w:r>
      <w:r>
        <w:rPr>
          <w:rFonts w:cs="Arial"/>
          <w:sz w:val="22"/>
        </w:rPr>
        <w:t>.</w:t>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t>Tapahtuman henkilökunta on koulutettu opastamaan pelastuslaitos onnettomuuspaikalle onnettomuuden sattuessa. Pelastuslaitoksen opastamisen osalta vastuut on jaettu selkeästi.</w:t>
      </w:r>
    </w:p>
    <w:p>
      <w:pPr>
        <w:pStyle w:val="Normal"/>
        <w:rPr>
          <w:rFonts w:cs="Arial"/>
          <w:b/>
          <w:b/>
          <w:sz w:val="22"/>
          <w:u w:val="single"/>
        </w:rPr>
      </w:pPr>
      <w:r>
        <w:rPr>
          <w:rFonts w:cs="Arial"/>
          <w:b/>
          <w:sz w:val="22"/>
          <w:u w:val="single"/>
        </w:rPr>
      </w:r>
    </w:p>
    <w:p>
      <w:pPr>
        <w:pStyle w:val="Alaotsikko"/>
        <w:rPr>
          <w:u w:val="single"/>
        </w:rPr>
      </w:pPr>
      <w:r>
        <w:rPr>
          <w:u w:val="single"/>
        </w:rPr>
        <w:t>Poistumisjärjestelyt</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t>Ei erillisiä poistumisjärjestelyitä tapahtuman luonteesta  ja sijainnista johtuen</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Ulkotapahtuma: Samanaikaisesti paikalla olevan maksimihenkilömäärän (430) </w:t>
      </w:r>
    </w:p>
    <w:p>
      <w:pPr>
        <w:pStyle w:val="Normal"/>
        <w:jc w:val="both"/>
        <w:rPr>
          <w:rFonts w:cs="Arial"/>
          <w:sz w:val="22"/>
        </w:rPr>
      </w:pPr>
      <w:r>
        <w:rPr>
          <w:rFonts w:cs="Arial"/>
          <w:sz w:val="22"/>
        </w:rPr>
      </w:r>
    </w:p>
    <w:p>
      <w:pPr>
        <w:pStyle w:val="Normal"/>
        <w:jc w:val="both"/>
        <w:rPr>
          <w:rFonts w:cs="Arial"/>
          <w:sz w:val="22"/>
        </w:rPr>
      </w:pPr>
      <w:r>
        <w:rPr>
          <w:rFonts w:cs="Arial"/>
          <w:sz w:val="22"/>
        </w:rPr>
      </w:r>
    </w:p>
    <w:p>
      <w:pPr>
        <w:pStyle w:val="Alaotsikko"/>
        <w:rPr>
          <w:u w:val="single"/>
        </w:rPr>
      </w:pPr>
      <w:r>
        <w:rPr>
          <w:u w:val="single"/>
        </w:rPr>
        <w:t>Tapahtuman keskeyttäminen ja evakuointijärjestelyt</w:t>
      </w:r>
    </w:p>
    <w:p>
      <w:pPr>
        <w:pStyle w:val="Normal"/>
        <w:jc w:val="both"/>
        <w:rPr>
          <w:rFonts w:cs="Arial"/>
          <w:sz w:val="22"/>
        </w:rPr>
      </w:pPr>
      <w:r>
        <w:rPr>
          <w:rFonts w:cs="Arial"/>
          <w:sz w:val="22"/>
        </w:rPr>
      </w:r>
    </w:p>
    <w:p>
      <w:pPr>
        <w:pStyle w:val="Normal"/>
        <w:jc w:val="both"/>
        <w:rPr>
          <w:rFonts w:cs="Arial"/>
          <w:sz w:val="22"/>
        </w:rPr>
      </w:pPr>
      <w:r>
        <w:rPr>
          <w:rFonts w:cs="Arial"/>
          <w:sz w:val="22"/>
        </w:rPr>
      </w:r>
    </w:p>
    <w:p>
      <w:pPr>
        <w:pStyle w:val="Normal"/>
        <w:jc w:val="both"/>
        <w:rPr>
          <w:rFonts w:cs="Arial"/>
          <w:sz w:val="22"/>
        </w:rPr>
      </w:pPr>
      <w:r>
        <w:rPr>
          <w:rFonts w:cs="Arial"/>
          <w:sz w:val="22"/>
        </w:rPr>
        <w:t>Tapahtuman häiriötilanteet, kuten tulipalo, sään aiheuttamat tilanteet, tilapäisten rakenteiden sortuminen sekä häiriökäyttäytyminen voivat aiheuttaa tapahtuman keskeyttämistarpeen. Tapahtuma tai osa siitä voidaan joutua keskeyttämään kokonaan tai hetkellisesti. Vakavissa poikkeustilanteissa tapahtuma-alue tai osa siitä voidaan joutua evakuoimaan.</w:t>
      </w:r>
    </w:p>
    <w:p>
      <w:pPr>
        <w:pStyle w:val="Normal"/>
        <w:jc w:val="both"/>
        <w:rPr>
          <w:rFonts w:cs="Arial"/>
          <w:sz w:val="22"/>
        </w:rPr>
      </w:pPr>
      <w:r>
        <w:rPr>
          <w:rFonts w:cs="Arial"/>
          <w:sz w:val="22"/>
        </w:rPr>
      </w:r>
    </w:p>
    <w:p>
      <w:pPr>
        <w:pStyle w:val="Normal"/>
        <w:jc w:val="both"/>
        <w:rPr>
          <w:rFonts w:cs="Arial"/>
          <w:color w:val="000000"/>
          <w:sz w:val="22"/>
        </w:rPr>
      </w:pPr>
      <w:r>
        <w:rPr>
          <w:rFonts w:cs="Arial"/>
          <w:color w:val="000000"/>
          <w:sz w:val="22"/>
        </w:rPr>
        <w:t>Tapahtuman keskeyttämisestä ja evakuoinnista päättää tapahtuman järjestäjä, turvallisuudesta vastaava henkilö tai viranomainen.</w:t>
      </w:r>
    </w:p>
    <w:p>
      <w:pPr>
        <w:pStyle w:val="Normal"/>
        <w:jc w:val="both"/>
        <w:rPr>
          <w:rFonts w:cs="Arial"/>
          <w:color w:val="000000"/>
          <w:sz w:val="22"/>
        </w:rPr>
      </w:pPr>
      <w:r>
        <w:rPr>
          <w:rFonts w:cs="Arial"/>
          <w:color w:val="000000"/>
          <w:sz w:val="22"/>
        </w:rPr>
      </w:r>
    </w:p>
    <w:p>
      <w:pPr>
        <w:pStyle w:val="Normal"/>
        <w:jc w:val="both"/>
        <w:rPr>
          <w:rFonts w:cs="Arial"/>
          <w:sz w:val="22"/>
        </w:rPr>
      </w:pPr>
      <w:r>
        <w:rPr>
          <w:rFonts w:cs="Arial"/>
          <w:color w:val="000000"/>
          <w:sz w:val="22"/>
        </w:rPr>
        <w:t>Evakuointitilanteessa toimitsijat opastavat yleisöä poistumaan poispäin vaarasta käyttäen lähimpiä poistumisreittejä. Yleisön opastamisessa hyödynnetään tapahtuman äänentoistolaitteistoa tai megafoneja.</w:t>
      </w:r>
    </w:p>
    <w:p>
      <w:pPr>
        <w:pStyle w:val="Normal"/>
        <w:rPr>
          <w:sz w:val="22"/>
        </w:rPr>
      </w:pPr>
      <w:r>
        <w:rPr>
          <w:sz w:val="22"/>
        </w:rPr>
      </w:r>
    </w:p>
    <w:p>
      <w:pPr>
        <w:pStyle w:val="Alaotsikko"/>
        <w:rPr>
          <w:rFonts w:eastAsia="Calibri"/>
          <w:u w:val="single"/>
        </w:rPr>
      </w:pPr>
      <w:r>
        <w:rPr>
          <w:rFonts w:eastAsia="Calibri"/>
          <w:u w:val="single"/>
        </w:rPr>
        <w:t>Tilapäiset rakenteet</w:t>
      </w:r>
    </w:p>
    <w:p>
      <w:pPr>
        <w:pStyle w:val="Normal"/>
        <w:jc w:val="both"/>
        <w:rPr>
          <w:rFonts w:eastAsia="Calibri" w:cs="Arial"/>
          <w:sz w:val="22"/>
        </w:rPr>
      </w:pPr>
      <w:r>
        <w:rPr>
          <w:rFonts w:eastAsia="Calibri" w:cs="Arial"/>
          <w:sz w:val="22"/>
        </w:rPr>
      </w:r>
    </w:p>
    <w:tbl>
      <w:tblPr>
        <w:tblStyle w:val="TableGrid"/>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3211"/>
        <w:gridCol w:w="898"/>
        <w:gridCol w:w="5529"/>
      </w:tblGrid>
      <w:tr>
        <w:trPr>
          <w:tblHeader w:val="true"/>
        </w:trPr>
        <w:tc>
          <w:tcPr>
            <w:tcW w:w="3211" w:type="dxa"/>
            <w:tcBorders/>
            <w:shd w:color="auto" w:fill="BFBFBF" w:themeFill="background1" w:themeFillShade="bf" w:val="clear"/>
          </w:tcPr>
          <w:p>
            <w:pPr>
              <w:pStyle w:val="Normal"/>
              <w:widowControl/>
              <w:spacing w:before="0" w:after="0"/>
              <w:jc w:val="both"/>
              <w:rPr>
                <w:rFonts w:eastAsia="Calibri" w:cs="Arial"/>
                <w:sz w:val="22"/>
              </w:rPr>
            </w:pPr>
            <w:r>
              <w:rPr>
                <w:rFonts w:eastAsia="Calibri" w:cs="Arial"/>
                <w:kern w:val="0"/>
                <w:sz w:val="22"/>
                <w:szCs w:val="22"/>
                <w:lang w:val="fi-FI" w:eastAsia="en-US" w:bidi="ar-SA"/>
              </w:rPr>
              <w:t>Tilapäinen rakenne</w:t>
            </w:r>
          </w:p>
        </w:tc>
        <w:tc>
          <w:tcPr>
            <w:tcW w:w="898" w:type="dxa"/>
            <w:tcBorders/>
            <w:shd w:color="auto" w:fill="BFBFBF" w:themeFill="background1" w:themeFillShade="bf" w:val="clear"/>
          </w:tcPr>
          <w:p>
            <w:pPr>
              <w:pStyle w:val="Normal"/>
              <w:widowControl/>
              <w:spacing w:before="0" w:after="0"/>
              <w:jc w:val="center"/>
              <w:rPr>
                <w:rFonts w:eastAsia="Calibri" w:cs="Arial"/>
                <w:sz w:val="22"/>
              </w:rPr>
            </w:pPr>
            <w:r>
              <w:rPr>
                <w:rFonts w:eastAsia="Calibri" w:cs="Arial"/>
                <w:kern w:val="0"/>
                <w:sz w:val="22"/>
                <w:szCs w:val="22"/>
                <w:lang w:val="fi-FI" w:eastAsia="en-US" w:bidi="ar-SA"/>
              </w:rPr>
              <w:t>Määrä (kpl)</w:t>
            </w:r>
          </w:p>
        </w:tc>
        <w:tc>
          <w:tcPr>
            <w:tcW w:w="5529" w:type="dxa"/>
            <w:tcBorders/>
            <w:shd w:color="auto" w:fill="BFBFBF" w:themeFill="background1" w:themeFillShade="bf" w:val="clear"/>
          </w:tcPr>
          <w:p>
            <w:pPr>
              <w:pStyle w:val="Normal"/>
              <w:widowControl/>
              <w:spacing w:before="0" w:after="0"/>
              <w:jc w:val="both"/>
              <w:rPr>
                <w:rFonts w:eastAsia="Calibri" w:cs="Arial"/>
                <w:sz w:val="22"/>
              </w:rPr>
            </w:pPr>
            <w:r>
              <w:rPr>
                <w:rFonts w:eastAsia="Calibri" w:cs="Arial"/>
                <w:kern w:val="0"/>
                <w:sz w:val="22"/>
                <w:szCs w:val="22"/>
                <w:lang w:val="fi-FI" w:eastAsia="en-US" w:bidi="ar-SA"/>
              </w:rPr>
              <w:t xml:space="preserve">Koko </w:t>
            </w:r>
          </w:p>
        </w:tc>
      </w:tr>
      <w:tr>
        <w:trPr/>
        <w:tc>
          <w:tcPr>
            <w:tcW w:w="3211" w:type="dxa"/>
            <w:tcBorders/>
          </w:tcPr>
          <w:p>
            <w:pPr>
              <w:pStyle w:val="Normal"/>
              <w:widowControl/>
              <w:spacing w:before="0" w:after="0"/>
              <w:jc w:val="both"/>
              <w:rPr>
                <w:rFonts w:eastAsia="Calibri" w:cs="Arial"/>
                <w:sz w:val="22"/>
              </w:rPr>
            </w:pPr>
            <w:r>
              <w:rPr>
                <w:rFonts w:eastAsia="Calibri" w:cs="Arial"/>
                <w:kern w:val="0"/>
                <w:sz w:val="22"/>
                <w:szCs w:val="22"/>
                <w:lang w:val="fi-FI" w:eastAsia="en-US" w:bidi="ar-SA"/>
              </w:rPr>
              <w:t>Lava</w:t>
            </w:r>
          </w:p>
        </w:tc>
        <w:tc>
          <w:tcPr>
            <w:tcW w:w="898" w:type="dxa"/>
            <w:tcBorders/>
          </w:tcPr>
          <w:p>
            <w:pPr>
              <w:pStyle w:val="Normal"/>
              <w:widowControl/>
              <w:spacing w:before="0" w:after="0"/>
              <w:jc w:val="center"/>
              <w:rPr>
                <w:rFonts w:eastAsia="Calibri" w:cs="Arial"/>
                <w:sz w:val="22"/>
              </w:rPr>
            </w:pPr>
            <w:r>
              <w:rPr>
                <w:rFonts w:eastAsia="Calibri" w:cs="Arial"/>
                <w:kern w:val="0"/>
                <w:sz w:val="22"/>
                <w:szCs w:val="22"/>
                <w:lang w:val="fi-FI" w:eastAsia="en-US" w:bidi="ar-SA"/>
              </w:rPr>
              <w:t>0</w:t>
            </w:r>
          </w:p>
        </w:tc>
        <w:tc>
          <w:tcPr>
            <w:tcW w:w="5529" w:type="dxa"/>
            <w:tcBorders/>
          </w:tcPr>
          <w:p>
            <w:pPr>
              <w:pStyle w:val="Normal"/>
              <w:widowControl/>
              <w:spacing w:before="0" w:after="0"/>
              <w:jc w:val="both"/>
              <w:rPr>
                <w:rFonts w:eastAsia="Calibri" w:cs="Arial"/>
                <w:sz w:val="22"/>
              </w:rPr>
            </w:pPr>
            <w:r>
              <w:rPr>
                <w:rFonts w:eastAsia="Calibri" w:cs="Arial"/>
                <w:kern w:val="0"/>
                <w:sz w:val="22"/>
                <w:szCs w:val="22"/>
                <w:lang w:val="fi-FI" w:eastAsia="en-US" w:bidi="ar-SA"/>
              </w:rPr>
            </w:r>
          </w:p>
        </w:tc>
      </w:tr>
      <w:tr>
        <w:trPr/>
        <w:tc>
          <w:tcPr>
            <w:tcW w:w="3211" w:type="dxa"/>
            <w:tcBorders/>
          </w:tcPr>
          <w:p>
            <w:pPr>
              <w:pStyle w:val="Normal"/>
              <w:widowControl/>
              <w:spacing w:before="0" w:after="0"/>
              <w:jc w:val="both"/>
              <w:rPr>
                <w:rFonts w:eastAsia="Calibri" w:cs="Arial"/>
                <w:sz w:val="22"/>
              </w:rPr>
            </w:pPr>
            <w:r>
              <w:rPr>
                <w:rFonts w:eastAsia="Calibri" w:cs="Arial"/>
                <w:kern w:val="0"/>
                <w:sz w:val="22"/>
                <w:szCs w:val="22"/>
                <w:lang w:val="fi-FI" w:eastAsia="en-US" w:bidi="ar-SA"/>
              </w:rPr>
              <w:t>Katsomo</w:t>
            </w:r>
          </w:p>
        </w:tc>
        <w:tc>
          <w:tcPr>
            <w:tcW w:w="898" w:type="dxa"/>
            <w:tcBorders/>
          </w:tcPr>
          <w:p>
            <w:pPr>
              <w:pStyle w:val="Normal"/>
              <w:widowControl/>
              <w:spacing w:before="0" w:after="0"/>
              <w:jc w:val="center"/>
              <w:rPr>
                <w:rFonts w:eastAsia="Calibri" w:cs="Arial"/>
                <w:sz w:val="22"/>
              </w:rPr>
            </w:pPr>
            <w:r>
              <w:rPr>
                <w:rFonts w:eastAsia="Calibri" w:cs="Arial"/>
                <w:kern w:val="0"/>
                <w:sz w:val="22"/>
                <w:szCs w:val="22"/>
                <w:lang w:val="fi-FI" w:eastAsia="en-US" w:bidi="ar-SA"/>
              </w:rPr>
              <w:t>1</w:t>
            </w:r>
          </w:p>
        </w:tc>
        <w:tc>
          <w:tcPr>
            <w:tcW w:w="5529" w:type="dxa"/>
            <w:tcBorders/>
          </w:tcPr>
          <w:p>
            <w:pPr>
              <w:pStyle w:val="Normal"/>
              <w:widowControl/>
              <w:spacing w:before="0" w:after="0"/>
              <w:jc w:val="both"/>
              <w:rPr>
                <w:rFonts w:eastAsia="Calibri" w:cs="Arial"/>
                <w:i/>
                <w:i/>
                <w:sz w:val="22"/>
              </w:rPr>
            </w:pPr>
            <w:r>
              <w:rPr>
                <w:rFonts w:eastAsia="Calibri" w:cs="Arial"/>
                <w:i/>
                <w:kern w:val="0"/>
                <w:sz w:val="22"/>
                <w:szCs w:val="22"/>
                <w:lang w:val="fi-FI" w:eastAsia="en-US" w:bidi="ar-SA"/>
              </w:rPr>
              <w:t>Suljettu yleisöltä</w:t>
            </w:r>
          </w:p>
          <w:p>
            <w:pPr>
              <w:pStyle w:val="Normal"/>
              <w:widowControl/>
              <w:spacing w:before="0" w:after="0"/>
              <w:jc w:val="both"/>
              <w:rPr>
                <w:rFonts w:eastAsia="Calibri" w:cs="Arial"/>
                <w:sz w:val="22"/>
              </w:rPr>
            </w:pPr>
            <w:r>
              <w:rPr>
                <w:rFonts w:eastAsia="Calibri" w:cs="Arial"/>
                <w:kern w:val="0"/>
                <w:sz w:val="22"/>
                <w:szCs w:val="22"/>
                <w:lang w:val="fi-FI" w:eastAsia="en-US" w:bidi="ar-SA"/>
              </w:rPr>
            </w:r>
          </w:p>
        </w:tc>
      </w:tr>
      <w:tr>
        <w:trPr/>
        <w:tc>
          <w:tcPr>
            <w:tcW w:w="3211" w:type="dxa"/>
            <w:tcBorders/>
          </w:tcPr>
          <w:p>
            <w:pPr>
              <w:pStyle w:val="Normal"/>
              <w:widowControl/>
              <w:spacing w:before="0" w:after="0"/>
              <w:jc w:val="both"/>
              <w:rPr>
                <w:rFonts w:eastAsia="Calibri" w:cs="Arial"/>
                <w:sz w:val="22"/>
              </w:rPr>
            </w:pPr>
            <w:r>
              <w:rPr>
                <w:rFonts w:eastAsia="Calibri" w:cs="Arial"/>
                <w:kern w:val="0"/>
                <w:sz w:val="22"/>
                <w:szCs w:val="22"/>
                <w:lang w:val="fi-FI" w:eastAsia="en-US" w:bidi="ar-SA"/>
              </w:rPr>
              <w:t>Teltta</w:t>
            </w:r>
          </w:p>
        </w:tc>
        <w:tc>
          <w:tcPr>
            <w:tcW w:w="898" w:type="dxa"/>
            <w:tcBorders/>
          </w:tcPr>
          <w:p>
            <w:pPr>
              <w:pStyle w:val="Normal"/>
              <w:widowControl/>
              <w:spacing w:before="0" w:after="0"/>
              <w:jc w:val="center"/>
              <w:rPr>
                <w:rFonts w:eastAsia="Calibri" w:cs="Arial"/>
                <w:sz w:val="22"/>
              </w:rPr>
            </w:pPr>
            <w:r>
              <w:rPr>
                <w:rFonts w:eastAsia="Calibri" w:cs="Arial"/>
                <w:kern w:val="0"/>
                <w:sz w:val="22"/>
                <w:szCs w:val="22"/>
                <w:lang w:val="fi-FI" w:eastAsia="en-US" w:bidi="ar-SA"/>
              </w:rPr>
              <w:t>0</w:t>
            </w:r>
          </w:p>
        </w:tc>
        <w:tc>
          <w:tcPr>
            <w:tcW w:w="5529" w:type="dxa"/>
            <w:tcBorders/>
          </w:tcPr>
          <w:p>
            <w:pPr>
              <w:pStyle w:val="Normal"/>
              <w:widowControl/>
              <w:spacing w:before="0" w:after="0"/>
              <w:jc w:val="both"/>
              <w:rPr>
                <w:rFonts w:eastAsia="Calibri" w:cs="Arial"/>
                <w:i/>
                <w:i/>
                <w:sz w:val="22"/>
              </w:rPr>
            </w:pPr>
            <w:r>
              <w:rPr>
                <w:rFonts w:eastAsia="Calibri" w:cs="Arial"/>
                <w:i/>
                <w:kern w:val="0"/>
                <w:sz w:val="22"/>
                <w:szCs w:val="22"/>
                <w:lang w:val="fi-FI" w:eastAsia="en-US" w:bidi="ar-SA"/>
              </w:rPr>
            </w:r>
          </w:p>
        </w:tc>
      </w:tr>
      <w:tr>
        <w:trPr/>
        <w:tc>
          <w:tcPr>
            <w:tcW w:w="3211" w:type="dxa"/>
            <w:tcBorders/>
          </w:tcPr>
          <w:p>
            <w:pPr>
              <w:pStyle w:val="Normal"/>
              <w:widowControl/>
              <w:spacing w:before="0" w:after="0"/>
              <w:jc w:val="both"/>
              <w:rPr>
                <w:rFonts w:eastAsia="Calibri" w:cs="Arial"/>
                <w:sz w:val="22"/>
              </w:rPr>
            </w:pPr>
            <w:r>
              <w:rPr>
                <w:rFonts w:eastAsia="Calibri" w:cs="Arial"/>
                <w:kern w:val="0"/>
                <w:sz w:val="22"/>
                <w:szCs w:val="22"/>
                <w:lang w:val="fi-FI" w:eastAsia="en-US" w:bidi="ar-SA"/>
              </w:rPr>
              <w:t xml:space="preserve">Muu, mikä? </w:t>
            </w:r>
          </w:p>
        </w:tc>
        <w:tc>
          <w:tcPr>
            <w:tcW w:w="898" w:type="dxa"/>
            <w:tcBorders/>
          </w:tcPr>
          <w:p>
            <w:pPr>
              <w:pStyle w:val="Normal"/>
              <w:widowControl/>
              <w:spacing w:before="0" w:after="0"/>
              <w:jc w:val="center"/>
              <w:rPr>
                <w:rFonts w:eastAsia="Calibri" w:cs="Arial"/>
                <w:sz w:val="22"/>
              </w:rPr>
            </w:pPr>
            <w:r>
              <w:rPr>
                <w:rFonts w:eastAsia="Calibri" w:cs="Arial"/>
                <w:kern w:val="0"/>
                <w:sz w:val="22"/>
                <w:szCs w:val="22"/>
                <w:lang w:val="fi-FI" w:eastAsia="en-US" w:bidi="ar-SA"/>
              </w:rPr>
              <w:t>2</w:t>
            </w:r>
          </w:p>
        </w:tc>
        <w:tc>
          <w:tcPr>
            <w:tcW w:w="5529" w:type="dxa"/>
            <w:tcBorders/>
          </w:tcPr>
          <w:p>
            <w:pPr>
              <w:pStyle w:val="Normal"/>
              <w:widowControl/>
              <w:spacing w:before="0" w:after="0"/>
              <w:jc w:val="both"/>
              <w:rPr>
                <w:rFonts w:eastAsia="Calibri" w:cs="Arial"/>
                <w:sz w:val="22"/>
              </w:rPr>
            </w:pPr>
            <w:r>
              <w:rPr>
                <w:rFonts w:eastAsia="Calibri" w:cs="Arial"/>
                <w:kern w:val="0"/>
                <w:sz w:val="22"/>
                <w:szCs w:val="22"/>
                <w:lang w:val="fi-FI" w:eastAsia="en-US" w:bidi="ar-SA"/>
              </w:rPr>
              <w:t>Ajanotto ja kuuluttaja vaunu</w:t>
            </w:r>
          </w:p>
          <w:p>
            <w:pPr>
              <w:pStyle w:val="Normal"/>
              <w:widowControl/>
              <w:spacing w:before="0" w:after="0"/>
              <w:jc w:val="both"/>
              <w:rPr>
                <w:rFonts w:eastAsia="Calibri" w:cs="Arial"/>
                <w:sz w:val="22"/>
              </w:rPr>
            </w:pPr>
            <w:r>
              <w:rPr>
                <w:rFonts w:eastAsia="Calibri" w:cs="Arial"/>
                <w:kern w:val="0"/>
                <w:sz w:val="22"/>
                <w:szCs w:val="22"/>
                <w:lang w:val="fi-FI" w:eastAsia="en-US" w:bidi="ar-SA"/>
              </w:rPr>
            </w:r>
          </w:p>
        </w:tc>
      </w:tr>
    </w:tbl>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cs="Arial"/>
          <w:sz w:val="22"/>
        </w:rPr>
      </w:pPr>
      <w:r>
        <w:rPr>
          <w:rFonts w:cs="Arial"/>
          <w:sz w:val="22"/>
        </w:rPr>
      </w:r>
    </w:p>
    <w:p>
      <w:pPr>
        <w:pStyle w:val="Alaotsikko"/>
        <w:rPr>
          <w:u w:val="single"/>
        </w:rPr>
      </w:pPr>
      <w:r>
        <w:rPr>
          <w:u w:val="single"/>
        </w:rPr>
      </w:r>
    </w:p>
    <w:p>
      <w:pPr>
        <w:pStyle w:val="Alaotsikko"/>
        <w:rPr>
          <w:u w:val="single"/>
        </w:rPr>
      </w:pPr>
      <w:r>
        <w:rPr>
          <w:u w:val="single"/>
        </w:rPr>
      </w:r>
    </w:p>
    <w:p>
      <w:pPr>
        <w:pStyle w:val="Alaotsikko"/>
        <w:rPr>
          <w:u w:val="single"/>
        </w:rPr>
      </w:pPr>
      <w:r>
        <w:rPr>
          <w:u w:val="single"/>
        </w:rPr>
        <w:t>Tilapäiset sähköasennukset ja energianjakelun katkokset</w:t>
      </w:r>
    </w:p>
    <w:p>
      <w:pPr>
        <w:pStyle w:val="Normal"/>
        <w:jc w:val="both"/>
        <w:rPr>
          <w:rFonts w:cs="Arial"/>
          <w:sz w:val="22"/>
        </w:rPr>
      </w:pPr>
      <w:r>
        <w:rPr>
          <w:rFonts w:cs="Arial"/>
          <w:sz w:val="22"/>
        </w:rPr>
      </w:r>
    </w:p>
    <w:p>
      <w:pPr>
        <w:pStyle w:val="Normal"/>
        <w:jc w:val="both"/>
        <w:rPr>
          <w:rFonts w:cs="Arial"/>
          <w:sz w:val="22"/>
        </w:rPr>
      </w:pPr>
      <w:r>
        <w:rPr>
          <w:rFonts w:cs="Arial"/>
          <w:sz w:val="22"/>
        </w:rPr>
        <w:t>Sähkön käytössä noudatetaan seuraavaa:</w:t>
      </w:r>
    </w:p>
    <w:p>
      <w:pPr>
        <w:pStyle w:val="ListParagraph"/>
        <w:numPr>
          <w:ilvl w:val="0"/>
          <w:numId w:val="15"/>
        </w:numPr>
        <w:spacing w:before="0" w:after="0"/>
        <w:contextualSpacing/>
        <w:jc w:val="both"/>
        <w:rPr>
          <w:rFonts w:cs="Arial"/>
          <w:sz w:val="22"/>
        </w:rPr>
      </w:pPr>
      <w:r>
        <w:rPr>
          <w:rFonts w:cs="Arial"/>
          <w:sz w:val="22"/>
        </w:rPr>
        <w:t>Sähköasennukset ovat tehneet kelpoisuusvaatimuksen täyttävät henkilöt ja yritykset.</w:t>
      </w:r>
    </w:p>
    <w:p>
      <w:pPr>
        <w:pStyle w:val="ListParagraph"/>
        <w:numPr>
          <w:ilvl w:val="0"/>
          <w:numId w:val="15"/>
        </w:numPr>
        <w:spacing w:before="0" w:after="0"/>
        <w:contextualSpacing/>
        <w:jc w:val="both"/>
        <w:rPr>
          <w:rFonts w:cs="Arial"/>
          <w:sz w:val="22"/>
        </w:rPr>
      </w:pPr>
      <w:r>
        <w:rPr>
          <w:rFonts w:cs="Arial"/>
          <w:sz w:val="22"/>
        </w:rPr>
        <w:t>Kulkureiteillä ja poistumisreiteillä olevat johdot on suojattu esimerkiksi kaapelikouruilla, kumimatoilla, upottamalla maahan tai nostamalla ylös. Sähkö- ja muut johtovedot eivät saa haitata tai aiheuttaa vaaraa tapahtuma-alueen ulkopuolella kävely- tai pyöräliikenteelle. Mahdollisissa kaapeloinneissa on käytettävä heijastavaa materiaalia ja varoittavia liikennemerkkejä.</w:t>
      </w:r>
    </w:p>
    <w:p>
      <w:pPr>
        <w:pStyle w:val="ListParagraph"/>
        <w:numPr>
          <w:ilvl w:val="0"/>
          <w:numId w:val="15"/>
        </w:numPr>
        <w:spacing w:before="0" w:after="0"/>
        <w:contextualSpacing/>
        <w:jc w:val="both"/>
        <w:rPr>
          <w:rFonts w:cs="Arial"/>
          <w:sz w:val="22"/>
        </w:rPr>
      </w:pPr>
      <w:r>
        <w:rPr>
          <w:rFonts w:cs="Arial"/>
          <w:sz w:val="22"/>
        </w:rPr>
        <w:t>Ulkotiloissa käytetään vain ulkokäyttöön tarkoitettuja sähköjohtoja.</w:t>
      </w:r>
    </w:p>
    <w:p>
      <w:pPr>
        <w:pStyle w:val="ListParagraph"/>
        <w:numPr>
          <w:ilvl w:val="0"/>
          <w:numId w:val="15"/>
        </w:numPr>
        <w:spacing w:before="0" w:after="0"/>
        <w:contextualSpacing/>
        <w:jc w:val="both"/>
        <w:rPr>
          <w:rFonts w:cs="Arial"/>
          <w:sz w:val="22"/>
        </w:rPr>
      </w:pPr>
      <w:r>
        <w:rPr>
          <w:rFonts w:cs="Arial"/>
          <w:sz w:val="22"/>
        </w:rPr>
        <w:t>Ulkona käytettävät sähkölaitteet ovat suojamaadoitettuja, suojaeristettyjä tai suojajännitteellä toimivia.</w:t>
      </w:r>
      <w:r>
        <w:rPr/>
        <w:t xml:space="preserve"> </w:t>
      </w:r>
      <w:r>
        <w:rPr>
          <w:rFonts w:cs="Arial"/>
          <w:sz w:val="22"/>
        </w:rPr>
        <w:t>Kuivissa ulko-olosuhteissa voidaan tilapäisesti käyttää myös sisäkäyttöön tarkoitettuja suojamaadoitettuja tai suojaeristettyjä laitteita. Näissä tilanteissa laitteet on eristetty maasta sekä suojattu sateelta ja kosteudelta.</w:t>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Alaotsikko"/>
        <w:rPr>
          <w:u w:val="single"/>
        </w:rPr>
      </w:pPr>
      <w:r>
        <w:rPr>
          <w:u w:val="single"/>
        </w:rPr>
        <w:t>Tuliesitys, pyrotekniset tehosteet ja ilotulitteet</w:t>
      </w:r>
    </w:p>
    <w:p>
      <w:pPr>
        <w:pStyle w:val="Normal"/>
        <w:jc w:val="both"/>
        <w:rPr>
          <w:rFonts w:cs="Arial"/>
          <w:sz w:val="22"/>
        </w:rPr>
      </w:pPr>
      <w:r>
        <w:rPr>
          <w:rFonts w:cs="Arial"/>
          <w:sz w:val="22"/>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639"/>
        <w:gridCol w:w="998"/>
      </w:tblGrid>
      <w:tr>
        <w:trPr/>
        <w:tc>
          <w:tcPr>
            <w:tcW w:w="8639" w:type="dxa"/>
            <w:tcBorders/>
          </w:tcPr>
          <w:p>
            <w:pPr>
              <w:pStyle w:val="Normal"/>
              <w:widowControl/>
              <w:spacing w:before="0" w:after="0"/>
              <w:jc w:val="both"/>
              <w:rPr>
                <w:rFonts w:cs="Arial"/>
                <w:sz w:val="22"/>
              </w:rPr>
            </w:pPr>
            <w:r>
              <w:rPr>
                <w:rFonts w:eastAsia="Calibri" w:cs="Arial"/>
                <w:kern w:val="0"/>
                <w:sz w:val="22"/>
                <w:szCs w:val="22"/>
                <w:lang w:val="fi-FI" w:eastAsia="en-US" w:bidi="ar-SA"/>
              </w:rPr>
              <w:t>Tapahtumaan liittyy tuliesitys, josta on tehty erillinen ilmoitus. Ilmoitus on suunnitelman liitteenä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spacing w:before="0" w:after="0"/>
              <w:jc w:val="center"/>
              <w:rPr>
                <w:rFonts w:cs="Arial"/>
                <w:sz w:val="22"/>
              </w:rPr>
            </w:pPr>
            <w:r>
              <w:rPr>
                <w:rFonts w:eastAsia="Calibri" w:cs="Arial"/>
                <w:kern w:val="0"/>
                <w:sz w:val="22"/>
                <w:szCs w:val="22"/>
                <w:lang w:val="fi-FI" w:eastAsia="en-US" w:bidi="ar-SA"/>
              </w:rPr>
              <w:t>Ei</w:t>
            </w:r>
          </w:p>
        </w:tc>
      </w:tr>
      <w:tr>
        <w:trPr/>
        <w:tc>
          <w:tcPr>
            <w:tcW w:w="8639" w:type="dxa"/>
            <w:tcBorders/>
          </w:tcPr>
          <w:p>
            <w:pPr>
              <w:pStyle w:val="Normal"/>
              <w:widowControl/>
              <w:spacing w:before="0" w:after="0"/>
              <w:jc w:val="both"/>
              <w:rPr>
                <w:rFonts w:cs="Arial"/>
                <w:sz w:val="22"/>
              </w:rPr>
            </w:pPr>
            <w:r>
              <w:rPr>
                <w:rFonts w:eastAsia="Calibri" w:cs="Arial"/>
                <w:kern w:val="0"/>
                <w:sz w:val="22"/>
                <w:szCs w:val="22"/>
                <w:lang w:val="fi-FI" w:eastAsia="en-US" w:bidi="ar-SA"/>
              </w:rPr>
              <w:t xml:space="preserve">Tapahtumaan liittyy pyrotekninen tehostetoteutus, josta on tehty erillinen ilmoitus. Ilmoitus on suunnitelman liitteenä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spacing w:before="0" w:after="0"/>
              <w:jc w:val="center"/>
              <w:rPr>
                <w:rFonts w:cs="Arial"/>
                <w:sz w:val="22"/>
              </w:rPr>
            </w:pPr>
            <w:r>
              <w:rPr>
                <w:rFonts w:eastAsia="Calibri" w:cs="Arial"/>
                <w:kern w:val="0"/>
                <w:sz w:val="22"/>
                <w:szCs w:val="22"/>
                <w:lang w:val="fi-FI" w:eastAsia="en-US" w:bidi="ar-SA"/>
              </w:rPr>
              <w:t>Ei</w:t>
            </w:r>
          </w:p>
        </w:tc>
      </w:tr>
      <w:tr>
        <w:trPr/>
        <w:tc>
          <w:tcPr>
            <w:tcW w:w="8639" w:type="dxa"/>
            <w:tcBorders/>
          </w:tcPr>
          <w:p>
            <w:pPr>
              <w:pStyle w:val="Normal"/>
              <w:widowControl/>
              <w:spacing w:before="0" w:after="0"/>
              <w:jc w:val="both"/>
              <w:rPr>
                <w:rFonts w:cs="Arial"/>
                <w:sz w:val="22"/>
              </w:rPr>
            </w:pPr>
            <w:r>
              <w:rPr>
                <w:rFonts w:eastAsia="Calibri" w:cs="Arial"/>
                <w:kern w:val="0"/>
                <w:sz w:val="22"/>
                <w:szCs w:val="22"/>
                <w:lang w:val="fi-FI" w:eastAsia="en-US" w:bidi="ar-SA"/>
              </w:rPr>
              <w:t>Tapahtumaan liittyy ilotulitusnäytös, josta on tehty erillinen ilmoitus poliisille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spacing w:before="0" w:after="0"/>
              <w:jc w:val="center"/>
              <w:rPr>
                <w:rFonts w:cs="Arial"/>
                <w:sz w:val="22"/>
              </w:rPr>
            </w:pPr>
            <w:r>
              <w:rPr>
                <w:rFonts w:eastAsia="Calibri" w:cs="Arial"/>
                <w:kern w:val="0"/>
                <w:sz w:val="22"/>
                <w:szCs w:val="22"/>
                <w:lang w:val="fi-FI" w:eastAsia="en-US" w:bidi="ar-SA"/>
              </w:rPr>
              <w:t>Ei</w:t>
            </w:r>
          </w:p>
        </w:tc>
      </w:tr>
    </w:tbl>
    <w:p>
      <w:pPr>
        <w:pStyle w:val="Normal"/>
        <w:jc w:val="both"/>
        <w:rPr>
          <w:rFonts w:cs="Arial"/>
          <w:b/>
          <w:b/>
          <w:sz w:val="22"/>
          <w:u w:val="single"/>
        </w:rPr>
      </w:pPr>
      <w:r>
        <w:rPr>
          <w:rFonts w:cs="Arial"/>
          <w:b/>
          <w:sz w:val="22"/>
          <w:u w:val="single"/>
        </w:rPr>
      </w:r>
    </w:p>
    <w:p>
      <w:pPr>
        <w:pStyle w:val="Alaotsikko"/>
        <w:rPr>
          <w:u w:val="single"/>
        </w:rPr>
      </w:pPr>
      <w:r>
        <w:rPr>
          <w:u w:val="single"/>
        </w:rPr>
        <w:t>Vaaralliset kemikaalit</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t>Yleisötapahtumissa vaarallisia kemikaaleja ovat esimerkiksi tyypillisesti käytössä olevat nestekaasu ja aggregaattien polttonesteet.</w:t>
      </w:r>
    </w:p>
    <w:p>
      <w:pPr>
        <w:pStyle w:val="Normal"/>
        <w:jc w:val="both"/>
        <w:rPr>
          <w:rFonts w:cs="Arial"/>
          <w:sz w:val="22"/>
        </w:rPr>
      </w:pPr>
      <w:r>
        <w:rPr>
          <w:rFonts w:cs="Arial"/>
          <w:sz w:val="22"/>
        </w:rPr>
      </w:r>
    </w:p>
    <w:p>
      <w:pPr>
        <w:pStyle w:val="Normal"/>
        <w:jc w:val="both"/>
        <w:rPr>
          <w:rFonts w:cs="Arial"/>
          <w:sz w:val="22"/>
        </w:rPr>
      </w:pPr>
      <w:r>
        <w:rPr>
          <w:rFonts w:cs="Arial"/>
          <w:sz w:val="22"/>
        </w:rPr>
        <w:t>Nestekaasun käyttötarkoitus (</w:t>
      </w:r>
      <w:r>
        <w:rPr>
          <w:rFonts w:cs="Arial"/>
          <w:i/>
          <w:sz w:val="22"/>
        </w:rPr>
        <w:t>raksita käyttötarkoitukset taulukkoon</w:t>
      </w:r>
      <w:r>
        <w:rPr>
          <w:rFonts w:cs="Arial"/>
          <w:sz w:val="22"/>
        </w:rPr>
        <w:t>):</w:t>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3"/>
        <w:gridCol w:w="2264"/>
      </w:tblGrid>
      <w:tr>
        <w:trPr/>
        <w:tc>
          <w:tcPr>
            <w:tcW w:w="7373" w:type="dxa"/>
            <w:tcBorders/>
          </w:tcPr>
          <w:p>
            <w:pPr>
              <w:pStyle w:val="Normal"/>
              <w:widowControl/>
              <w:spacing w:before="0" w:after="0"/>
              <w:jc w:val="both"/>
              <w:rPr>
                <w:rFonts w:cs="Arial"/>
                <w:sz w:val="22"/>
              </w:rPr>
            </w:pPr>
            <w:r>
              <w:rPr>
                <w:rFonts w:eastAsia="Calibri" w:cs="Arial"/>
                <w:kern w:val="0"/>
                <w:sz w:val="22"/>
                <w:szCs w:val="22"/>
                <w:lang w:val="fi-FI" w:eastAsia="en-US" w:bidi="ar-SA"/>
              </w:rPr>
              <w:t>Ruoanlaitto/lämmitys</w:t>
            </w:r>
          </w:p>
        </w:tc>
        <w:tc>
          <w:tcPr>
            <w:tcW w:w="2264" w:type="dxa"/>
            <w:tcBorders/>
          </w:tcPr>
          <w:p>
            <w:pPr>
              <w:pStyle w:val="Normal"/>
              <w:widowControl/>
              <w:spacing w:before="0" w:after="0"/>
              <w:jc w:val="center"/>
              <w:rPr>
                <w:rFonts w:cs="Arial"/>
                <w:sz w:val="22"/>
              </w:rPr>
            </w:pPr>
            <w:r>
              <w:rPr>
                <w:rFonts w:eastAsia="Calibri" w:cs="Arial"/>
                <w:kern w:val="0"/>
                <w:sz w:val="22"/>
                <w:szCs w:val="22"/>
                <w:lang w:val="fi-FI" w:eastAsia="en-US" w:bidi="ar-SA"/>
              </w:rPr>
              <w:t>x</w:t>
            </w:r>
          </w:p>
        </w:tc>
      </w:tr>
      <w:tr>
        <w:trPr/>
        <w:tc>
          <w:tcPr>
            <w:tcW w:w="7373" w:type="dxa"/>
            <w:tcBorders/>
          </w:tcPr>
          <w:p>
            <w:pPr>
              <w:pStyle w:val="Normal"/>
              <w:widowControl/>
              <w:spacing w:before="0" w:after="0"/>
              <w:jc w:val="both"/>
              <w:rPr>
                <w:rFonts w:cs="Arial"/>
                <w:sz w:val="22"/>
              </w:rPr>
            </w:pPr>
            <w:r>
              <w:rPr>
                <w:rFonts w:eastAsia="Calibri" w:cs="Arial"/>
                <w:kern w:val="0"/>
                <w:sz w:val="22"/>
                <w:szCs w:val="22"/>
                <w:lang w:val="fi-FI" w:eastAsia="en-US" w:bidi="ar-SA"/>
              </w:rPr>
              <w:t>Rakennuksen/teltan/alueen lämmitys</w:t>
            </w:r>
          </w:p>
        </w:tc>
        <w:tc>
          <w:tcPr>
            <w:tcW w:w="2264"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373" w:type="dxa"/>
            <w:tcBorders/>
          </w:tcPr>
          <w:p>
            <w:pPr>
              <w:pStyle w:val="Normal"/>
              <w:widowControl/>
              <w:spacing w:before="0" w:after="0"/>
              <w:jc w:val="both"/>
              <w:rPr>
                <w:rFonts w:cs="Arial"/>
                <w:sz w:val="22"/>
              </w:rPr>
            </w:pPr>
            <w:r>
              <w:rPr>
                <w:rFonts w:eastAsia="Calibri" w:cs="Arial"/>
                <w:kern w:val="0"/>
                <w:sz w:val="22"/>
                <w:szCs w:val="22"/>
                <w:lang w:val="fi-FI" w:eastAsia="en-US" w:bidi="ar-SA"/>
              </w:rPr>
              <w:t>Pyrotekniset tehosteet</w:t>
            </w:r>
          </w:p>
        </w:tc>
        <w:tc>
          <w:tcPr>
            <w:tcW w:w="2264"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373" w:type="dxa"/>
            <w:tcBorders/>
          </w:tcPr>
          <w:p>
            <w:pPr>
              <w:pStyle w:val="Normal"/>
              <w:widowControl/>
              <w:spacing w:before="0" w:after="0"/>
              <w:jc w:val="both"/>
              <w:rPr>
                <w:rFonts w:cs="Arial"/>
                <w:sz w:val="22"/>
              </w:rPr>
            </w:pPr>
            <w:r>
              <w:rPr>
                <w:rFonts w:eastAsia="Calibri" w:cs="Arial"/>
                <w:kern w:val="0"/>
                <w:sz w:val="22"/>
                <w:szCs w:val="22"/>
                <w:lang w:val="fi-FI" w:eastAsia="en-US" w:bidi="ar-SA"/>
              </w:rPr>
              <w:t>Muu, mikä?</w:t>
            </w:r>
          </w:p>
        </w:tc>
        <w:tc>
          <w:tcPr>
            <w:tcW w:w="2264"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bl>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69"/>
        <w:gridCol w:w="2268"/>
      </w:tblGrid>
      <w:tr>
        <w:trPr/>
        <w:tc>
          <w:tcPr>
            <w:tcW w:w="7369" w:type="dxa"/>
            <w:tcBorders/>
          </w:tcPr>
          <w:p>
            <w:pPr>
              <w:pStyle w:val="Normal"/>
              <w:widowControl/>
              <w:spacing w:before="0" w:after="0"/>
              <w:jc w:val="both"/>
              <w:rPr>
                <w:rFonts w:cs="Arial"/>
                <w:sz w:val="22"/>
              </w:rPr>
            </w:pPr>
            <w:r>
              <w:rPr>
                <w:rFonts w:eastAsia="Calibri" w:cs="Arial"/>
                <w:kern w:val="0"/>
                <w:sz w:val="22"/>
                <w:szCs w:val="22"/>
                <w:lang w:val="fi-FI" w:eastAsia="en-US" w:bidi="ar-SA"/>
              </w:rPr>
              <w:t>Käytössä olevan nestekaasun yhteenlaskettu määrä</w:t>
            </w:r>
          </w:p>
        </w:tc>
        <w:tc>
          <w:tcPr>
            <w:tcW w:w="2268" w:type="dxa"/>
            <w:tcBorders/>
          </w:tcPr>
          <w:p>
            <w:pPr>
              <w:pStyle w:val="Normal"/>
              <w:widowControl/>
              <w:spacing w:before="0" w:after="0"/>
              <w:jc w:val="both"/>
              <w:rPr>
                <w:rFonts w:cs="Arial"/>
                <w:i/>
                <w:i/>
                <w:sz w:val="20"/>
                <w:szCs w:val="20"/>
              </w:rPr>
            </w:pPr>
            <w:r>
              <w:rPr>
                <w:rFonts w:eastAsia="Calibri" w:cs="Arial"/>
                <w:i/>
                <w:kern w:val="0"/>
                <w:sz w:val="20"/>
                <w:szCs w:val="20"/>
                <w:lang w:val="fi-FI" w:eastAsia="en-US" w:bidi="ar-SA"/>
              </w:rPr>
              <w:t>(kg)10</w:t>
            </w:r>
          </w:p>
        </w:tc>
      </w:tr>
      <w:tr>
        <w:trPr/>
        <w:tc>
          <w:tcPr>
            <w:tcW w:w="7369" w:type="dxa"/>
            <w:tcBorders/>
          </w:tcPr>
          <w:p>
            <w:pPr>
              <w:pStyle w:val="Normal"/>
              <w:widowControl/>
              <w:spacing w:before="0" w:after="0"/>
              <w:jc w:val="both"/>
              <w:rPr>
                <w:rFonts w:cs="Arial"/>
                <w:sz w:val="22"/>
              </w:rPr>
            </w:pPr>
            <w:r>
              <w:rPr>
                <w:rFonts w:eastAsia="Calibri" w:cs="Arial"/>
                <w:kern w:val="0"/>
                <w:sz w:val="22"/>
                <w:szCs w:val="22"/>
                <w:lang w:val="fi-FI" w:eastAsia="en-US" w:bidi="ar-SA"/>
              </w:rPr>
              <w:t>Varastossa olevan nestekaasun yhteenlaskettu määrä</w:t>
            </w:r>
          </w:p>
        </w:tc>
        <w:tc>
          <w:tcPr>
            <w:tcW w:w="2268" w:type="dxa"/>
            <w:tcBorders/>
          </w:tcPr>
          <w:p>
            <w:pPr>
              <w:pStyle w:val="Normal"/>
              <w:widowControl/>
              <w:spacing w:before="0" w:after="0"/>
              <w:jc w:val="both"/>
              <w:rPr>
                <w:rFonts w:cs="Arial"/>
                <w:i/>
                <w:i/>
                <w:sz w:val="20"/>
                <w:szCs w:val="20"/>
              </w:rPr>
            </w:pPr>
            <w:r>
              <w:rPr>
                <w:rFonts w:eastAsia="Calibri" w:cs="Arial"/>
                <w:i/>
                <w:kern w:val="0"/>
                <w:sz w:val="20"/>
                <w:szCs w:val="20"/>
                <w:lang w:val="fi-FI" w:eastAsia="en-US" w:bidi="ar-SA"/>
              </w:rPr>
              <w:t>(kg)</w:t>
            </w:r>
          </w:p>
        </w:tc>
      </w:tr>
    </w:tbl>
    <w:p>
      <w:pPr>
        <w:pStyle w:val="Normal"/>
        <w:jc w:val="both"/>
        <w:rPr>
          <w:rFonts w:cs="Arial"/>
          <w:sz w:val="22"/>
        </w:rPr>
      </w:pPr>
      <w:r>
        <w:rPr>
          <w:rFonts w:cs="Arial"/>
          <w:sz w:val="22"/>
        </w:rPr>
      </w:r>
    </w:p>
    <w:p>
      <w:pPr>
        <w:pStyle w:val="Normal"/>
        <w:jc w:val="both"/>
        <w:rPr>
          <w:rFonts w:cs="Arial"/>
          <w:sz w:val="22"/>
        </w:rPr>
      </w:pPr>
      <w:r>
        <w:rPr>
          <w:rFonts w:cs="Arial"/>
          <w:sz w:val="22"/>
        </w:rPr>
        <w:t>Muiden vaarallisten kemikaalien käyttötarkoitus (</w:t>
      </w:r>
      <w:r>
        <w:rPr>
          <w:rFonts w:cs="Arial"/>
          <w:i/>
          <w:sz w:val="22"/>
        </w:rPr>
        <w:t>raksita käyttötarkoitukset taulukkoon</w:t>
      </w:r>
      <w:r>
        <w:rPr>
          <w:rFonts w:cs="Arial"/>
          <w:sz w:val="22"/>
        </w:rPr>
        <w:t>):</w:t>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3"/>
        <w:gridCol w:w="2264"/>
      </w:tblGrid>
      <w:tr>
        <w:trPr/>
        <w:tc>
          <w:tcPr>
            <w:tcW w:w="7373" w:type="dxa"/>
            <w:tcBorders/>
          </w:tcPr>
          <w:p>
            <w:pPr>
              <w:pStyle w:val="Normal"/>
              <w:widowControl/>
              <w:spacing w:before="0" w:after="0"/>
              <w:jc w:val="both"/>
              <w:rPr>
                <w:rFonts w:cs="Arial"/>
                <w:sz w:val="22"/>
              </w:rPr>
            </w:pPr>
            <w:r>
              <w:rPr>
                <w:rFonts w:eastAsia="Calibri" w:cs="Arial"/>
                <w:kern w:val="0"/>
                <w:sz w:val="22"/>
                <w:szCs w:val="22"/>
                <w:lang w:val="fi-FI" w:eastAsia="en-US" w:bidi="ar-SA"/>
              </w:rPr>
              <w:t>Rakennuksen/teltan/alueen lämmitys</w:t>
            </w:r>
          </w:p>
        </w:tc>
        <w:tc>
          <w:tcPr>
            <w:tcW w:w="2264"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373" w:type="dxa"/>
            <w:tcBorders/>
          </w:tcPr>
          <w:p>
            <w:pPr>
              <w:pStyle w:val="Normal"/>
              <w:widowControl/>
              <w:spacing w:before="0" w:after="0"/>
              <w:jc w:val="both"/>
              <w:rPr>
                <w:rFonts w:cs="Arial"/>
                <w:sz w:val="22"/>
              </w:rPr>
            </w:pPr>
            <w:r>
              <w:rPr>
                <w:rFonts w:eastAsia="Calibri" w:cs="Arial"/>
                <w:kern w:val="0"/>
                <w:sz w:val="22"/>
                <w:szCs w:val="22"/>
                <w:lang w:val="fi-FI" w:eastAsia="en-US" w:bidi="ar-SA"/>
              </w:rPr>
              <w:t>Sähköntuotanto</w:t>
            </w:r>
          </w:p>
        </w:tc>
        <w:tc>
          <w:tcPr>
            <w:tcW w:w="2264"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373" w:type="dxa"/>
            <w:tcBorders/>
          </w:tcPr>
          <w:p>
            <w:pPr>
              <w:pStyle w:val="Normal"/>
              <w:widowControl/>
              <w:spacing w:before="0" w:after="0"/>
              <w:jc w:val="both"/>
              <w:rPr>
                <w:rFonts w:cs="Arial"/>
                <w:sz w:val="22"/>
              </w:rPr>
            </w:pPr>
            <w:r>
              <w:rPr>
                <w:rFonts w:eastAsia="Calibri" w:cs="Arial"/>
                <w:kern w:val="0"/>
                <w:sz w:val="22"/>
                <w:szCs w:val="22"/>
                <w:lang w:val="fi-FI" w:eastAsia="en-US" w:bidi="ar-SA"/>
              </w:rPr>
              <w:t>Pyrotekniset tehosteet</w:t>
            </w:r>
          </w:p>
        </w:tc>
        <w:tc>
          <w:tcPr>
            <w:tcW w:w="2264"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373" w:type="dxa"/>
            <w:tcBorders/>
          </w:tcPr>
          <w:p>
            <w:pPr>
              <w:pStyle w:val="Normal"/>
              <w:widowControl/>
              <w:spacing w:before="0" w:after="0"/>
              <w:jc w:val="both"/>
              <w:rPr>
                <w:rFonts w:cs="Arial"/>
                <w:sz w:val="22"/>
              </w:rPr>
            </w:pPr>
            <w:r>
              <w:rPr>
                <w:rFonts w:eastAsia="Calibri" w:cs="Arial"/>
                <w:kern w:val="0"/>
                <w:sz w:val="22"/>
                <w:szCs w:val="22"/>
                <w:lang w:val="fi-FI" w:eastAsia="en-US" w:bidi="ar-SA"/>
              </w:rPr>
              <w:t>Tuliesitys</w:t>
            </w:r>
          </w:p>
        </w:tc>
        <w:tc>
          <w:tcPr>
            <w:tcW w:w="2264"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r>
        <w:trPr/>
        <w:tc>
          <w:tcPr>
            <w:tcW w:w="7373" w:type="dxa"/>
            <w:tcBorders/>
          </w:tcPr>
          <w:p>
            <w:pPr>
              <w:pStyle w:val="Normal"/>
              <w:widowControl/>
              <w:spacing w:before="0" w:after="0"/>
              <w:jc w:val="both"/>
              <w:rPr>
                <w:rFonts w:cs="Arial"/>
                <w:sz w:val="22"/>
              </w:rPr>
            </w:pPr>
            <w:r>
              <w:rPr>
                <w:rFonts w:eastAsia="Calibri" w:cs="Arial"/>
                <w:kern w:val="0"/>
                <w:sz w:val="22"/>
                <w:szCs w:val="22"/>
                <w:lang w:val="fi-FI" w:eastAsia="en-US" w:bidi="ar-SA"/>
              </w:rPr>
              <w:t>Muu, mikä?</w:t>
            </w:r>
          </w:p>
        </w:tc>
        <w:tc>
          <w:tcPr>
            <w:tcW w:w="2264"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bl>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69"/>
        <w:gridCol w:w="2268"/>
      </w:tblGrid>
      <w:tr>
        <w:trPr/>
        <w:tc>
          <w:tcPr>
            <w:tcW w:w="7369" w:type="dxa"/>
            <w:tcBorders/>
          </w:tcPr>
          <w:p>
            <w:pPr>
              <w:pStyle w:val="Normal"/>
              <w:widowControl/>
              <w:spacing w:before="0" w:after="0"/>
              <w:jc w:val="both"/>
              <w:rPr>
                <w:rFonts w:cs="Arial"/>
                <w:sz w:val="22"/>
              </w:rPr>
            </w:pPr>
            <w:r>
              <w:rPr>
                <w:rFonts w:eastAsia="Calibri" w:cs="Arial"/>
                <w:kern w:val="0"/>
                <w:sz w:val="22"/>
                <w:szCs w:val="22"/>
                <w:lang w:val="fi-FI" w:eastAsia="en-US" w:bidi="ar-SA"/>
              </w:rPr>
              <w:t>Käytössä olevat muut vaaralliset kemikaalit</w:t>
            </w:r>
          </w:p>
        </w:tc>
        <w:tc>
          <w:tcPr>
            <w:tcW w:w="2268" w:type="dxa"/>
            <w:tcBorders/>
          </w:tcPr>
          <w:p>
            <w:pPr>
              <w:pStyle w:val="Normal"/>
              <w:widowControl/>
              <w:spacing w:before="0" w:after="0"/>
              <w:jc w:val="both"/>
              <w:rPr>
                <w:rFonts w:cs="Arial"/>
                <w:i/>
                <w:i/>
                <w:sz w:val="20"/>
                <w:szCs w:val="20"/>
              </w:rPr>
            </w:pPr>
            <w:r>
              <w:rPr>
                <w:rFonts w:eastAsia="Calibri" w:cs="Arial"/>
                <w:i/>
                <w:kern w:val="0"/>
                <w:sz w:val="20"/>
                <w:szCs w:val="20"/>
                <w:lang w:val="fi-FI" w:eastAsia="en-US" w:bidi="ar-SA"/>
              </w:rPr>
              <w:t>(luettelo)</w:t>
            </w:r>
          </w:p>
        </w:tc>
      </w:tr>
      <w:tr>
        <w:trPr/>
        <w:tc>
          <w:tcPr>
            <w:tcW w:w="7369" w:type="dxa"/>
            <w:tcBorders/>
          </w:tcPr>
          <w:p>
            <w:pPr>
              <w:pStyle w:val="Normal"/>
              <w:widowControl/>
              <w:spacing w:before="0" w:after="0"/>
              <w:jc w:val="both"/>
              <w:rPr>
                <w:rFonts w:cs="Arial"/>
                <w:sz w:val="22"/>
              </w:rPr>
            </w:pPr>
            <w:r>
              <w:rPr>
                <w:rFonts w:eastAsia="Calibri" w:cs="Arial"/>
                <w:kern w:val="0"/>
                <w:sz w:val="22"/>
                <w:szCs w:val="22"/>
                <w:lang w:val="fi-FI" w:eastAsia="en-US" w:bidi="ar-SA"/>
              </w:rPr>
              <w:t>Käytössä olevien muiden vaarallisten kemikaalien yhteenlaskettu määrä</w:t>
            </w:r>
          </w:p>
        </w:tc>
        <w:tc>
          <w:tcPr>
            <w:tcW w:w="2268" w:type="dxa"/>
            <w:tcBorders/>
          </w:tcPr>
          <w:p>
            <w:pPr>
              <w:pStyle w:val="Normal"/>
              <w:widowControl/>
              <w:spacing w:before="0" w:after="0"/>
              <w:jc w:val="both"/>
              <w:rPr>
                <w:rFonts w:cs="Arial"/>
                <w:i/>
                <w:i/>
                <w:sz w:val="20"/>
                <w:szCs w:val="20"/>
              </w:rPr>
            </w:pPr>
            <w:r>
              <w:rPr>
                <w:rFonts w:eastAsia="Calibri" w:cs="Arial"/>
                <w:i/>
                <w:kern w:val="0"/>
                <w:sz w:val="20"/>
                <w:szCs w:val="20"/>
                <w:lang w:val="fi-FI" w:eastAsia="en-US" w:bidi="ar-SA"/>
              </w:rPr>
              <w:t>(litraa)</w:t>
            </w:r>
          </w:p>
        </w:tc>
      </w:tr>
      <w:tr>
        <w:trPr/>
        <w:tc>
          <w:tcPr>
            <w:tcW w:w="7369" w:type="dxa"/>
            <w:tcBorders/>
          </w:tcPr>
          <w:p>
            <w:pPr>
              <w:pStyle w:val="Normal"/>
              <w:widowControl/>
              <w:spacing w:before="0" w:after="0"/>
              <w:jc w:val="both"/>
              <w:rPr>
                <w:rFonts w:cs="Arial"/>
                <w:sz w:val="22"/>
              </w:rPr>
            </w:pPr>
            <w:r>
              <w:rPr>
                <w:rFonts w:eastAsia="Calibri" w:cs="Arial"/>
                <w:kern w:val="0"/>
                <w:sz w:val="22"/>
                <w:szCs w:val="22"/>
                <w:lang w:val="fi-FI" w:eastAsia="en-US" w:bidi="ar-SA"/>
              </w:rPr>
              <w:t>Varastossa olevien muiden vaarallisten kemikaalien yhteenlaskettu määrä</w:t>
            </w:r>
          </w:p>
        </w:tc>
        <w:tc>
          <w:tcPr>
            <w:tcW w:w="2268" w:type="dxa"/>
            <w:tcBorders/>
          </w:tcPr>
          <w:p>
            <w:pPr>
              <w:pStyle w:val="Normal"/>
              <w:widowControl/>
              <w:spacing w:before="0" w:after="0"/>
              <w:jc w:val="both"/>
              <w:rPr>
                <w:rFonts w:cs="Arial"/>
                <w:i/>
                <w:i/>
                <w:sz w:val="20"/>
                <w:szCs w:val="20"/>
              </w:rPr>
            </w:pPr>
            <w:r>
              <w:rPr>
                <w:rFonts w:eastAsia="Calibri" w:cs="Arial"/>
                <w:i/>
                <w:kern w:val="0"/>
                <w:sz w:val="20"/>
                <w:szCs w:val="20"/>
                <w:lang w:val="fi-FI" w:eastAsia="en-US" w:bidi="ar-SA"/>
              </w:rPr>
              <w:t>(litraa)</w:t>
            </w:r>
          </w:p>
        </w:tc>
      </w:tr>
    </w:tbl>
    <w:p>
      <w:pPr>
        <w:pStyle w:val="Normal"/>
        <w:jc w:val="both"/>
        <w:rPr>
          <w:rFonts w:cs="Arial"/>
          <w:sz w:val="22"/>
        </w:rPr>
      </w:pPr>
      <w:r>
        <w:rPr>
          <w:rFonts w:cs="Arial"/>
          <w:sz w:val="22"/>
        </w:rPr>
      </w:r>
    </w:p>
    <w:p>
      <w:pPr>
        <w:pStyle w:val="Normal"/>
        <w:jc w:val="both"/>
        <w:rPr>
          <w:rFonts w:cs="Arial"/>
          <w:sz w:val="22"/>
        </w:rPr>
      </w:pPr>
      <w:r>
        <w:rPr>
          <w:rFonts w:cs="Arial"/>
          <w:sz w:val="22"/>
        </w:rPr>
        <w:t>Vaarallisten kemikaalien osalta noudatetaan seuraavaa:</w:t>
      </w:r>
    </w:p>
    <w:p>
      <w:pPr>
        <w:pStyle w:val="ListParagraph"/>
        <w:numPr>
          <w:ilvl w:val="0"/>
          <w:numId w:val="16"/>
        </w:numPr>
        <w:spacing w:before="0" w:after="0"/>
        <w:contextualSpacing/>
        <w:jc w:val="both"/>
        <w:rPr>
          <w:rFonts w:cs="Arial"/>
          <w:sz w:val="22"/>
        </w:rPr>
      </w:pPr>
      <w:r>
        <w:rPr>
          <w:rFonts w:cs="Arial"/>
          <w:sz w:val="22"/>
        </w:rPr>
        <w:t>tapahtuma-alueella säilytetään vain toiminnan harjoittamisen kannalta tarpeellinen määrä vaarallisia kemikaaleja</w:t>
      </w:r>
    </w:p>
    <w:p>
      <w:pPr>
        <w:pStyle w:val="ListParagraph"/>
        <w:numPr>
          <w:ilvl w:val="0"/>
          <w:numId w:val="16"/>
        </w:numPr>
        <w:spacing w:before="0" w:after="0"/>
        <w:contextualSpacing/>
        <w:jc w:val="both"/>
        <w:rPr>
          <w:rFonts w:cs="Arial"/>
          <w:sz w:val="22"/>
        </w:rPr>
      </w:pPr>
      <w:r>
        <w:rPr>
          <w:rFonts w:cs="Arial"/>
          <w:sz w:val="22"/>
        </w:rPr>
        <w:t>vaarallisten kemikaalien käytössä noudatetaan riittävää varovaisuutta</w:t>
      </w:r>
    </w:p>
    <w:p>
      <w:pPr>
        <w:pStyle w:val="ListParagraph"/>
        <w:numPr>
          <w:ilvl w:val="0"/>
          <w:numId w:val="16"/>
        </w:numPr>
        <w:spacing w:before="0" w:after="0"/>
        <w:contextualSpacing/>
        <w:jc w:val="both"/>
        <w:rPr>
          <w:rFonts w:cs="Arial"/>
          <w:sz w:val="22"/>
        </w:rPr>
      </w:pPr>
      <w:r>
        <w:rPr>
          <w:rFonts w:cs="Arial"/>
          <w:sz w:val="22"/>
        </w:rPr>
        <w:t>vaarallisten kemikaalien käyttöturvallisuustiedotteita noudatetaan</w:t>
      </w:r>
    </w:p>
    <w:p>
      <w:pPr>
        <w:pStyle w:val="ListParagraph"/>
        <w:numPr>
          <w:ilvl w:val="0"/>
          <w:numId w:val="16"/>
        </w:numPr>
        <w:spacing w:before="0" w:after="0"/>
        <w:contextualSpacing/>
        <w:jc w:val="both"/>
        <w:rPr>
          <w:rFonts w:cs="Arial"/>
          <w:sz w:val="22"/>
        </w:rPr>
      </w:pPr>
      <w:r>
        <w:rPr>
          <w:rFonts w:cs="Arial"/>
          <w:sz w:val="22"/>
        </w:rPr>
        <w:t>käyttöpaikan ja varastointipaikan läheisyyteen sijoitetaan vähintään yksi 6 kg:n käsisammutin, joka on teholuokaltaan vähintään 34 A 183 BC sekä sammutuspeite</w:t>
      </w:r>
    </w:p>
    <w:p>
      <w:pPr>
        <w:pStyle w:val="ListParagraph"/>
        <w:numPr>
          <w:ilvl w:val="0"/>
          <w:numId w:val="16"/>
        </w:numPr>
        <w:spacing w:before="0" w:after="0"/>
        <w:contextualSpacing/>
        <w:jc w:val="both"/>
        <w:rPr>
          <w:rFonts w:cs="Arial"/>
          <w:sz w:val="22"/>
        </w:rPr>
      </w:pPr>
      <w:r>
        <w:rPr>
          <w:rFonts w:cs="Arial"/>
          <w:sz w:val="22"/>
        </w:rPr>
        <w:t>varastointipaikka on merkitty tarvittavilla CLP-asetuksen mukaisilla varoitusmerkeillä sekä tupakoinnin ja avotulen teon kieltävin merkein</w:t>
      </w:r>
    </w:p>
    <w:p>
      <w:pPr>
        <w:pStyle w:val="ListParagraph"/>
        <w:numPr>
          <w:ilvl w:val="0"/>
          <w:numId w:val="16"/>
        </w:numPr>
        <w:spacing w:before="0" w:after="0"/>
        <w:contextualSpacing/>
        <w:jc w:val="both"/>
        <w:rPr>
          <w:rFonts w:cs="Arial"/>
          <w:sz w:val="22"/>
        </w:rPr>
      </w:pPr>
      <w:r>
        <w:rPr>
          <w:rFonts w:cs="Arial"/>
          <w:sz w:val="22"/>
        </w:rPr>
        <w:t>ulkopuolisten pääsy vaarallisten kemikaalien varastointipaikkaan on estetty</w:t>
      </w:r>
    </w:p>
    <w:p>
      <w:pPr>
        <w:pStyle w:val="ListParagraph"/>
        <w:numPr>
          <w:ilvl w:val="0"/>
          <w:numId w:val="16"/>
        </w:numPr>
        <w:spacing w:before="0" w:after="0"/>
        <w:contextualSpacing/>
        <w:jc w:val="both"/>
        <w:rPr>
          <w:rFonts w:cs="Arial"/>
          <w:sz w:val="22"/>
        </w:rPr>
      </w:pPr>
      <w:r>
        <w:rPr>
          <w:rFonts w:cs="Arial"/>
          <w:sz w:val="22"/>
        </w:rPr>
        <w:t>vaarallisten kemikaalien käytössä huomioidaan ympäristön suojelu. Ympäristölle vaaralliset nesteet on sijoitettu valuma-altaisiin ja käyttö- sekä varastointipaikkojen läheisyyteen on varattu riittävästi imeytysainetta.</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Nestekaasun osalta noudatetaan </w:t>
      </w:r>
      <w:r>
        <w:rPr>
          <w:rFonts w:cs="Arial"/>
          <w:b/>
          <w:sz w:val="22"/>
        </w:rPr>
        <w:t>yllä olevien lisäksi</w:t>
      </w:r>
      <w:r>
        <w:rPr>
          <w:rFonts w:cs="Arial"/>
          <w:sz w:val="22"/>
        </w:rPr>
        <w:t xml:space="preserve"> seuraavaa:</w:t>
      </w:r>
    </w:p>
    <w:p>
      <w:pPr>
        <w:pStyle w:val="ListParagraph"/>
        <w:numPr>
          <w:ilvl w:val="0"/>
          <w:numId w:val="17"/>
        </w:numPr>
        <w:spacing w:before="0" w:after="0"/>
        <w:contextualSpacing/>
        <w:jc w:val="both"/>
        <w:rPr>
          <w:rFonts w:cs="Arial"/>
          <w:sz w:val="22"/>
        </w:rPr>
      </w:pPr>
      <w:r>
        <w:rPr>
          <w:rFonts w:cs="Arial"/>
          <w:sz w:val="22"/>
        </w:rPr>
        <w:t>käytetään pääsääntöisesti 5 tai 6 kg:n nestekaasupulloja</w:t>
      </w:r>
    </w:p>
    <w:p>
      <w:pPr>
        <w:pStyle w:val="ListParagraph"/>
        <w:numPr>
          <w:ilvl w:val="0"/>
          <w:numId w:val="17"/>
        </w:numPr>
        <w:spacing w:before="0" w:after="0"/>
        <w:contextualSpacing/>
        <w:jc w:val="both"/>
        <w:rPr>
          <w:rFonts w:cs="Arial"/>
          <w:sz w:val="22"/>
        </w:rPr>
      </w:pPr>
      <w:r>
        <w:rPr>
          <w:rFonts w:cs="Arial"/>
          <w:sz w:val="22"/>
        </w:rPr>
        <w:t>komposiittipullojen käyttöä suositellaan</w:t>
      </w:r>
    </w:p>
    <w:p>
      <w:pPr>
        <w:pStyle w:val="ListParagraph"/>
        <w:numPr>
          <w:ilvl w:val="0"/>
          <w:numId w:val="17"/>
        </w:numPr>
        <w:spacing w:before="0" w:after="0"/>
        <w:contextualSpacing/>
        <w:jc w:val="both"/>
        <w:rPr>
          <w:rFonts w:cs="Arial"/>
          <w:sz w:val="22"/>
        </w:rPr>
      </w:pPr>
      <w:r>
        <w:rPr>
          <w:rFonts w:cs="Arial"/>
          <w:sz w:val="22"/>
        </w:rPr>
        <w:t>kaikki tapahtuma-alueella olevat nestekaasupullot ovat kytkettyinä käyttölaitteisiin</w:t>
      </w:r>
    </w:p>
    <w:p>
      <w:pPr>
        <w:pStyle w:val="ListParagraph"/>
        <w:numPr>
          <w:ilvl w:val="0"/>
          <w:numId w:val="17"/>
        </w:numPr>
        <w:spacing w:before="0" w:after="0"/>
        <w:contextualSpacing/>
        <w:jc w:val="both"/>
        <w:rPr>
          <w:rFonts w:cs="Arial"/>
          <w:sz w:val="22"/>
        </w:rPr>
      </w:pPr>
      <w:r>
        <w:rPr>
          <w:rFonts w:cs="Arial"/>
          <w:sz w:val="22"/>
        </w:rPr>
        <w:t>mahdolliset varapullot ja tyhjät pullot säilytetään ennalta määritellyssä varastotilassa</w:t>
      </w:r>
    </w:p>
    <w:p>
      <w:pPr>
        <w:pStyle w:val="ListParagraph"/>
        <w:numPr>
          <w:ilvl w:val="0"/>
          <w:numId w:val="17"/>
        </w:numPr>
        <w:spacing w:before="0" w:after="0"/>
        <w:contextualSpacing/>
        <w:jc w:val="both"/>
        <w:rPr>
          <w:rFonts w:cs="Arial"/>
          <w:sz w:val="22"/>
        </w:rPr>
      </w:pPr>
      <w:r>
        <w:rPr>
          <w:rFonts w:cs="Arial"/>
          <w:sz w:val="22"/>
        </w:rPr>
        <w:t>nestekaasulaitteet ovat CE-merkittyjä</w:t>
      </w:r>
    </w:p>
    <w:p>
      <w:pPr>
        <w:pStyle w:val="ListParagraph"/>
        <w:numPr>
          <w:ilvl w:val="0"/>
          <w:numId w:val="17"/>
        </w:numPr>
        <w:spacing w:before="0" w:after="0"/>
        <w:contextualSpacing/>
        <w:jc w:val="both"/>
        <w:rPr>
          <w:rFonts w:cs="Arial"/>
          <w:sz w:val="22"/>
        </w:rPr>
      </w:pPr>
      <w:r>
        <w:rPr>
          <w:rFonts w:cs="Arial"/>
          <w:sz w:val="22"/>
        </w:rPr>
        <w:t>nestekaasuletkut täyttävät niille asetetut määräykset</w:t>
      </w:r>
    </w:p>
    <w:p>
      <w:pPr>
        <w:pStyle w:val="ListParagraph"/>
        <w:numPr>
          <w:ilvl w:val="0"/>
          <w:numId w:val="17"/>
        </w:numPr>
        <w:spacing w:before="0" w:after="0"/>
        <w:contextualSpacing/>
        <w:jc w:val="both"/>
        <w:rPr>
          <w:rFonts w:cs="Arial"/>
          <w:sz w:val="22"/>
        </w:rPr>
      </w:pPr>
      <w:r>
        <w:rPr>
          <w:rFonts w:cs="Arial"/>
          <w:sz w:val="22"/>
        </w:rPr>
        <w:t>nestekaasuletkuun ei asenneta ilman sulkuja olevaa t-liitäntää</w:t>
      </w:r>
    </w:p>
    <w:p>
      <w:pPr>
        <w:pStyle w:val="ListParagraph"/>
        <w:numPr>
          <w:ilvl w:val="0"/>
          <w:numId w:val="17"/>
        </w:numPr>
        <w:spacing w:before="0" w:after="0"/>
        <w:contextualSpacing/>
        <w:jc w:val="both"/>
        <w:rPr>
          <w:rFonts w:cs="Arial"/>
          <w:sz w:val="22"/>
        </w:rPr>
      </w:pPr>
      <w:r>
        <w:rPr>
          <w:rFonts w:cs="Arial"/>
          <w:sz w:val="22"/>
        </w:rPr>
        <w:t>nestekaasulaitteet ja -asennukset tarkastetaan ennen käyttöönottoa, erityisesti tarkastetaan nestekaasuletkujen liitokset (esim. saippualiuoksella)</w:t>
      </w:r>
    </w:p>
    <w:p>
      <w:pPr>
        <w:pStyle w:val="ListParagraph"/>
        <w:numPr>
          <w:ilvl w:val="0"/>
          <w:numId w:val="17"/>
        </w:numPr>
        <w:spacing w:before="0" w:after="0"/>
        <w:contextualSpacing/>
        <w:jc w:val="both"/>
        <w:rPr>
          <w:rFonts w:cs="Arial"/>
          <w:sz w:val="22"/>
        </w:rPr>
      </w:pPr>
      <w:r>
        <w:rPr>
          <w:rFonts w:cs="Arial"/>
          <w:sz w:val="22"/>
        </w:rPr>
        <w:t>sisätiloissa käytetään vain sisätiloihin soveltuvia nestekaasulaitteita. Laitteen soveltuvuus sisätiloissa käytettäväksi on varmistettu laitteen valmistajalta tai käyttöohjeista.</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Pohjakarttaan on merkitty vaarallisten kemikaalien käyttöpaikkojen ja varastointipaikkojen sijainnit. </w:t>
      </w:r>
    </w:p>
    <w:p>
      <w:pPr>
        <w:pStyle w:val="Normal"/>
        <w:jc w:val="both"/>
        <w:rPr>
          <w:rFonts w:cs="Arial"/>
          <w:sz w:val="22"/>
        </w:rPr>
      </w:pPr>
      <w:r>
        <w:rPr>
          <w:rFonts w:cs="Arial"/>
          <w:sz w:val="22"/>
        </w:rPr>
      </w:r>
    </w:p>
    <w:p>
      <w:pPr>
        <w:pStyle w:val="Otsikko1"/>
        <w:numPr>
          <w:ilvl w:val="0"/>
          <w:numId w:val="1"/>
        </w:numPr>
        <w:ind w:left="360" w:hanging="360"/>
        <w:rPr/>
      </w:pPr>
      <w:r>
        <w:rPr/>
        <w:t>Henkilökunnan sekä yleisön perehdytys ja ohjeistus</w:t>
      </w:r>
    </w:p>
    <w:p>
      <w:pPr>
        <w:pStyle w:val="Normal"/>
        <w:rPr/>
      </w:pPr>
      <w:r>
        <w:rPr/>
      </w:r>
    </w:p>
    <w:p>
      <w:pPr>
        <w:pStyle w:val="Normal"/>
        <w:jc w:val="both"/>
        <w:rPr>
          <w:rFonts w:cs="Arial"/>
          <w:i/>
          <w:i/>
          <w:sz w:val="20"/>
          <w:szCs w:val="20"/>
        </w:rPr>
      </w:pPr>
      <w:r>
        <w:rPr>
          <w:rFonts w:cs="Arial"/>
          <w:i/>
          <w:sz w:val="20"/>
          <w:szCs w:val="20"/>
        </w:rPr>
      </w:r>
    </w:p>
    <w:p>
      <w:pPr>
        <w:pStyle w:val="Alaotsikko"/>
        <w:rPr>
          <w:u w:val="single"/>
        </w:rPr>
      </w:pPr>
      <w:r>
        <w:rPr>
          <w:u w:val="single"/>
        </w:rPr>
        <w:t>Henkilökunnan perehdytys ja ohjeistus:</w:t>
      </w:r>
    </w:p>
    <w:p>
      <w:pPr>
        <w:pStyle w:val="Normal"/>
        <w:jc w:val="both"/>
        <w:rPr>
          <w:rFonts w:cs="Arial"/>
          <w:sz w:val="22"/>
          <w:szCs w:val="20"/>
        </w:rPr>
      </w:pPr>
      <w:r>
        <w:rPr>
          <w:rFonts w:cs="Arial"/>
          <w:sz w:val="22"/>
          <w:szCs w:val="20"/>
        </w:rPr>
      </w:r>
    </w:p>
    <w:p>
      <w:pPr>
        <w:pStyle w:val="Normal"/>
        <w:jc w:val="both"/>
        <w:rPr>
          <w:rFonts w:cs="Arial"/>
          <w:sz w:val="22"/>
          <w:szCs w:val="20"/>
        </w:rPr>
      </w:pPr>
      <w:r>
        <w:rPr>
          <w:rFonts w:cs="Arial"/>
          <w:sz w:val="22"/>
          <w:szCs w:val="20"/>
        </w:rPr>
        <w:t xml:space="preserve">Henkilöstölle selvitään heidän tehtävä suullisesti ja valvotaan henkilöstön toimintaa tapahtuman aikana </w:t>
      </w:r>
    </w:p>
    <w:p>
      <w:pPr>
        <w:pStyle w:val="Normal"/>
        <w:jc w:val="both"/>
        <w:rPr>
          <w:rFonts w:cs="Arial"/>
          <w:sz w:val="22"/>
          <w:szCs w:val="20"/>
        </w:rPr>
      </w:pPr>
      <w:r>
        <w:rPr>
          <w:rFonts w:cs="Arial"/>
          <w:sz w:val="22"/>
          <w:szCs w:val="20"/>
        </w:rPr>
      </w:r>
    </w:p>
    <w:p>
      <w:pPr>
        <w:pStyle w:val="Alaotsikko"/>
        <w:rPr>
          <w:u w:val="single"/>
        </w:rPr>
      </w:pPr>
      <w:r>
        <w:rPr>
          <w:u w:val="single"/>
        </w:rPr>
        <w:t>Yleisön ohjeistus ja opastus:</w:t>
      </w:r>
    </w:p>
    <w:p>
      <w:pPr>
        <w:pStyle w:val="Normal"/>
        <w:jc w:val="both"/>
        <w:rPr>
          <w:sz w:val="22"/>
        </w:rPr>
      </w:pPr>
      <w:r>
        <w:rPr>
          <w:sz w:val="22"/>
        </w:rPr>
      </w:r>
    </w:p>
    <w:p>
      <w:pPr>
        <w:pStyle w:val="Normal"/>
        <w:jc w:val="both"/>
        <w:rPr>
          <w:sz w:val="22"/>
        </w:rPr>
      </w:pPr>
      <w:r>
        <w:rPr>
          <w:sz w:val="22"/>
        </w:rPr>
        <w:t>Kuulutuksilla tarvittaessa</w:t>
      </w:r>
    </w:p>
    <w:p>
      <w:pPr>
        <w:pStyle w:val="Normal"/>
        <w:rPr>
          <w:sz w:val="22"/>
        </w:rPr>
      </w:pPr>
      <w:r>
        <w:rPr>
          <w:sz w:val="22"/>
        </w:rPr>
      </w:r>
      <w:r>
        <w:br w:type="page"/>
      </w:r>
    </w:p>
    <w:p>
      <w:pPr>
        <w:pStyle w:val="Alaotsikko"/>
        <w:rPr>
          <w:u w:val="single"/>
        </w:rPr>
      </w:pPr>
      <w:bookmarkStart w:id="6" w:name="_Toc387754666"/>
      <w:bookmarkStart w:id="7" w:name="_Toc387747996"/>
      <w:r>
        <w:rPr>
          <w:u w:val="single"/>
        </w:rPr>
        <w:t>Henkilökunnalle annettavat ohjeet</w:t>
      </w:r>
    </w:p>
    <w:p>
      <w:pPr>
        <w:pStyle w:val="Normal"/>
        <w:jc w:val="both"/>
        <w:rPr>
          <w:rFonts w:cs="Arial"/>
          <w:b/>
          <w:b/>
          <w:sz w:val="22"/>
          <w:u w:val="single"/>
        </w:rPr>
      </w:pPr>
      <w:r>
        <w:rPr>
          <w:rFonts w:cs="Arial"/>
          <w:b/>
          <w:sz w:val="22"/>
          <w:u w:val="single"/>
        </w:rPr>
      </w:r>
    </w:p>
    <w:p>
      <w:pPr>
        <w:pStyle w:val="Normal"/>
        <w:jc w:val="both"/>
        <w:rPr>
          <w:rFonts w:cs="Arial"/>
          <w:sz w:val="20"/>
          <w:szCs w:val="20"/>
        </w:rPr>
      </w:pPr>
      <w:r>
        <w:rPr>
          <w:rFonts w:cs="Arial"/>
          <w:sz w:val="20"/>
          <w:szCs w:val="20"/>
        </w:rPr>
        <w:t>Jokaisen henkilökuntaan kuuluvan on noudatettava seuraavia ohjeita sekä valvottava, että yleisö noudattaa niitä.</w:t>
      </w:r>
    </w:p>
    <w:p>
      <w:pPr>
        <w:pStyle w:val="Normal"/>
        <w:jc w:val="both"/>
        <w:rPr>
          <w:rFonts w:cs="Arial"/>
          <w:sz w:val="20"/>
          <w:szCs w:val="20"/>
        </w:rPr>
      </w:pPr>
      <w:r>
        <w:rPr>
          <w:rFonts w:cs="Arial"/>
          <w:sz w:val="20"/>
          <w:szCs w:val="20"/>
        </w:rPr>
      </w:r>
    </w:p>
    <w:p>
      <w:pPr>
        <w:pStyle w:val="Normal"/>
        <w:jc w:val="both"/>
        <w:rPr>
          <w:rFonts w:cs="Arial"/>
          <w:sz w:val="22"/>
        </w:rPr>
      </w:pPr>
      <w:r>
        <w:rPr>
          <w:rFonts w:cs="Arial"/>
          <w:sz w:val="20"/>
          <w:szCs w:val="20"/>
        </w:rPr>
        <w:t xml:space="preserve">Kaikista turvallisuutta vaarantavista tilanteista sekä tehdyistä toimenpiteistä on ilmoitettava tapahtuman turvallisuuspäällikölle/järjestäjälle numeroon </w:t>
      </w:r>
      <w:r>
        <w:rPr>
          <w:rFonts w:cs="Arial"/>
          <w:sz w:val="22"/>
        </w:rPr>
        <w:t xml:space="preserve">Mika Rinta-Keturi </w:t>
      </w:r>
      <w:r>
        <w:rPr>
          <w:rFonts w:cs="Arial"/>
          <w:color w:val="555555"/>
          <w:sz w:val="22"/>
          <w:shd w:fill="FFFFFF" w:val="clear"/>
        </w:rPr>
        <w:t>0407748648</w:t>
      </w:r>
    </w:p>
    <w:p>
      <w:pPr>
        <w:pStyle w:val="Normal"/>
        <w:jc w:val="both"/>
        <w:rPr>
          <w:rFonts w:cs="Arial"/>
          <w:sz w:val="20"/>
          <w:szCs w:val="20"/>
        </w:rPr>
      </w:pPr>
      <w:r>
        <w:rPr>
          <w:rFonts w:cs="Arial"/>
          <w:sz w:val="20"/>
          <w:szCs w:val="20"/>
        </w:rPr>
        <w:t>. Ota yhteys tapahtuman turvallisuuspäällikköön/järjestäjään myös, jos havaitset ennaltaehkäisevien tai varautumiseen liittyvien järjestelyiden osalta puutteita. Ennaltaehkäisyn ja varautumisen keinot on kuvattu suunnitelman osiossa kaksi. Toimi saamiesi ohjeiden mukaisesti.</w:t>
      </w:r>
    </w:p>
    <w:p>
      <w:pPr>
        <w:pStyle w:val="Normal"/>
        <w:jc w:val="both"/>
        <w:rPr>
          <w:rFonts w:cs="Arial"/>
          <w:sz w:val="20"/>
          <w:szCs w:val="20"/>
        </w:rPr>
      </w:pPr>
      <w:r>
        <w:rPr>
          <w:rFonts w:cs="Arial"/>
          <w:sz w:val="20"/>
          <w:szCs w:val="20"/>
        </w:rPr>
      </w:r>
    </w:p>
    <w:p>
      <w:pPr>
        <w:pStyle w:val="Alaotsikko"/>
        <w:rPr/>
      </w:pPr>
      <w:r>
        <w:rPr/>
        <w:t>Yleiset ohjeet vaarojen ja riskien ennaltaehkäisyyn</w:t>
      </w:r>
    </w:p>
    <w:p>
      <w:pPr>
        <w:pStyle w:val="Normal"/>
        <w:jc w:val="both"/>
        <w:rPr>
          <w:rFonts w:cs="Arial"/>
          <w:b/>
          <w:b/>
          <w:sz w:val="20"/>
          <w:szCs w:val="20"/>
        </w:rPr>
      </w:pPr>
      <w:r>
        <w:rPr>
          <w:rFonts w:cs="Arial"/>
          <w:b/>
          <w:sz w:val="20"/>
          <w:szCs w:val="20"/>
        </w:rPr>
      </w:r>
    </w:p>
    <w:p>
      <w:pPr>
        <w:pStyle w:val="ListParagraph"/>
        <w:numPr>
          <w:ilvl w:val="0"/>
          <w:numId w:val="14"/>
        </w:numPr>
        <w:spacing w:before="0" w:after="0"/>
        <w:contextualSpacing/>
        <w:jc w:val="both"/>
        <w:rPr>
          <w:rFonts w:cs="Arial"/>
          <w:szCs w:val="20"/>
        </w:rPr>
      </w:pPr>
      <w:r>
        <w:rPr>
          <w:rFonts w:cs="Arial"/>
          <w:szCs w:val="20"/>
        </w:rPr>
        <w:t>Tarkkaile tapahtuma-alueella muun muassa kompastumis-, liukastumis-, kaatumis- ja putoamisvaaroja, kuten kulkureiteillä olevia sähköjohtoja sekä lattian, maaston ja rakenteiden liukkautta ja epätasaisuutta. Estä liikkuminen vaaraa aiheuttavalla alueella ja korjaa puute mahdollisuuksien mukaan.</w:t>
      </w:r>
    </w:p>
    <w:p>
      <w:pPr>
        <w:pStyle w:val="ListParagraph"/>
        <w:spacing w:before="0" w:after="0"/>
        <w:ind w:left="360" w:hanging="0"/>
        <w:contextualSpacing/>
        <w:jc w:val="both"/>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Tarkkaile tapahtuma-alueen poistumisreittien ja pelastusteiden esteettömyyttä. Havaitessasi puutteen, korjaa tilanne mahdollisuuksien mukaan.</w:t>
      </w:r>
    </w:p>
    <w:p>
      <w:pPr>
        <w:pStyle w:val="ListParagraph"/>
        <w:spacing w:before="0" w:after="0"/>
        <w:ind w:left="360" w:hanging="0"/>
        <w:contextualSpacing/>
        <w:jc w:val="both"/>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Kiinnitä huomiota tulipalon ennaltaehkäisyyn. Huomioi mahdolliset syttymislähteet sekä kiinnitä huomiota tavaroiden säilytykseen. Estä yleisön pääsy kosketuksiin nestekaasun ja muiden vaarallisten kemikaalien kanssa. Kartoita lähimmän alkusammutuskaluston sijainti.</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Tarkkaile tilapäisten rakenteiden kiinnityksiä. Jos havaitset puutteita tilapäisten rakenteiden kiinnityksessä, korjaa tilanne mahdollisuuksien mukaan.</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Varmista, että olet tietoinen vastuualueesi maksimihenkilömäärästä. Tarkkaile alueen henkilömäärää ja rajoita tarvittaessa alueelle pääsyä. Mikäli havaitset ruuhkautumista, puutu tilanteeseen ennaltaehkäisevästi. Huolehdi myös omalta osaltasi yleisön ohjauksesta ja opastuksesta.</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Kiinnitä huomiota yleisön kuntoon ja mahdollisiin merkkeihin alkavasta häiriökäyttäytymisestä sekä puutu tilanteisiin ennaltaehkäisevästi.</w:t>
      </w:r>
    </w:p>
    <w:p>
      <w:pPr>
        <w:pStyle w:val="Normal"/>
        <w:jc w:val="both"/>
        <w:rPr>
          <w:b/>
          <w:b/>
          <w:sz w:val="20"/>
          <w:szCs w:val="20"/>
        </w:rPr>
      </w:pPr>
      <w:r>
        <w:rPr>
          <w:b/>
          <w:sz w:val="20"/>
          <w:szCs w:val="20"/>
        </w:rPr>
      </w:r>
    </w:p>
    <w:p>
      <w:pPr>
        <w:pStyle w:val="Normal"/>
        <w:jc w:val="both"/>
        <w:rPr>
          <w:b/>
          <w:b/>
          <w:color w:val="FF0000"/>
          <w:sz w:val="20"/>
          <w:szCs w:val="20"/>
        </w:rPr>
      </w:pPr>
      <w:r>
        <w:rPr>
          <w:b/>
          <w:sz w:val="20"/>
          <w:szCs w:val="20"/>
        </w:rPr>
        <w:t xml:space="preserve">HÄTÄNUMERO </w:t>
      </w:r>
      <w:r>
        <w:rPr>
          <w:b/>
          <w:color w:val="FF0000"/>
          <w:sz w:val="32"/>
          <w:szCs w:val="32"/>
        </w:rPr>
        <w:t>112</w:t>
      </w:r>
    </w:p>
    <w:p>
      <w:pPr>
        <w:pStyle w:val="Normal"/>
        <w:jc w:val="both"/>
        <w:rPr>
          <w:sz w:val="20"/>
          <w:szCs w:val="20"/>
        </w:rPr>
      </w:pPr>
      <w:r>
        <w:rPr>
          <w:sz w:val="20"/>
          <w:szCs w:val="20"/>
        </w:rPr>
        <w:t>1. SOITA HÄTÄPUHELU ITSE, JOS VOIT</w:t>
      </w:r>
    </w:p>
    <w:p>
      <w:pPr>
        <w:pStyle w:val="Normal"/>
        <w:jc w:val="both"/>
        <w:rPr>
          <w:sz w:val="20"/>
          <w:szCs w:val="20"/>
        </w:rPr>
      </w:pPr>
      <w:r>
        <w:rPr>
          <w:sz w:val="20"/>
          <w:szCs w:val="20"/>
        </w:rPr>
        <w:t>2. KERRO, MITÄ ON TAPAHTUNUT</w:t>
      </w:r>
    </w:p>
    <w:p>
      <w:pPr>
        <w:pStyle w:val="Normal"/>
        <w:rPr/>
      </w:pPr>
      <w:r>
        <w:rPr>
          <w:sz w:val="20"/>
          <w:szCs w:val="20"/>
        </w:rPr>
        <w:t xml:space="preserve">3. KERRO TARKKA OSOITE JA KUNTA: </w:t>
      </w:r>
      <w:r>
        <w:rPr/>
        <w:t>Ampumahiihtostadion Jouppilanvuorentie 66, Seinäjoki</w:t>
      </w:r>
    </w:p>
    <w:p>
      <w:pPr>
        <w:pStyle w:val="Normal"/>
        <w:jc w:val="both"/>
        <w:rPr>
          <w:sz w:val="20"/>
          <w:szCs w:val="20"/>
        </w:rPr>
      </w:pPr>
      <w:r>
        <w:rPr>
          <w:sz w:val="20"/>
          <w:szCs w:val="20"/>
        </w:rPr>
        <w:t>4. VASTAA SINULLE ESITETTYIHIN KYSYMYKSIIN</w:t>
      </w:r>
    </w:p>
    <w:p>
      <w:pPr>
        <w:pStyle w:val="Normal"/>
        <w:jc w:val="both"/>
        <w:rPr>
          <w:sz w:val="20"/>
          <w:szCs w:val="20"/>
        </w:rPr>
      </w:pPr>
      <w:r>
        <w:rPr>
          <w:sz w:val="20"/>
          <w:szCs w:val="20"/>
        </w:rPr>
        <w:t>5. TOIMI ANNETTUJEN OHJEIDEN MUKAAN</w:t>
      </w:r>
    </w:p>
    <w:p>
      <w:pPr>
        <w:pStyle w:val="Normal"/>
        <w:jc w:val="both"/>
        <w:rPr>
          <w:sz w:val="20"/>
          <w:szCs w:val="20"/>
        </w:rPr>
      </w:pPr>
      <w:r>
        <w:rPr>
          <w:sz w:val="20"/>
          <w:szCs w:val="20"/>
        </w:rPr>
        <w:t>6. LOPETA PUHELU VASTA SAATUASI SIIHEN LUVAN</w:t>
      </w:r>
    </w:p>
    <w:p>
      <w:pPr>
        <w:pStyle w:val="Normal"/>
        <w:jc w:val="both"/>
        <w:rPr>
          <w:sz w:val="20"/>
          <w:szCs w:val="20"/>
        </w:rPr>
      </w:pPr>
      <w:r>
        <w:rPr>
          <w:sz w:val="20"/>
          <w:szCs w:val="20"/>
        </w:rPr>
        <w:t>7. OPASTA APU PAIKALLE</w:t>
      </w:r>
    </w:p>
    <w:p>
      <w:pPr>
        <w:pStyle w:val="Normal"/>
        <w:jc w:val="both"/>
        <w:rPr>
          <w:sz w:val="20"/>
          <w:szCs w:val="20"/>
        </w:rPr>
      </w:pPr>
      <w:r>
        <w:rPr>
          <w:sz w:val="20"/>
          <w:szCs w:val="20"/>
        </w:rPr>
      </w:r>
    </w:p>
    <w:p>
      <w:pPr>
        <w:pStyle w:val="Normal"/>
        <w:jc w:val="both"/>
        <w:rPr>
          <w:sz w:val="20"/>
          <w:szCs w:val="20"/>
        </w:rPr>
      </w:pPr>
      <w:r>
        <w:rPr>
          <w:sz w:val="20"/>
          <w:szCs w:val="20"/>
        </w:rPr>
        <w:t>Soita hätäkeskukseen uudelleen, mikäli tilanne muuttuu.</w:t>
      </w:r>
    </w:p>
    <w:p>
      <w:pPr>
        <w:pStyle w:val="NoSpacing"/>
        <w:rPr>
          <w:i/>
          <w:i/>
          <w:sz w:val="20"/>
          <w:szCs w:val="20"/>
        </w:rPr>
      </w:pPr>
      <w:r>
        <w:rPr>
          <w:i/>
          <w:sz w:val="20"/>
          <w:szCs w:val="20"/>
        </w:rPr>
      </w:r>
    </w:p>
    <w:p>
      <w:pPr>
        <w:pStyle w:val="NoSpacing"/>
        <w:rPr>
          <w:i/>
          <w:i/>
          <w:sz w:val="20"/>
          <w:szCs w:val="20"/>
        </w:rPr>
      </w:pPr>
      <w:r>
        <w:rPr>
          <w:i/>
          <w:sz w:val="20"/>
          <w:szCs w:val="20"/>
        </w:rPr>
      </w:r>
      <w:r>
        <w:br w:type="page"/>
      </w:r>
    </w:p>
    <w:p>
      <w:pPr>
        <w:pStyle w:val="Alaotsikko"/>
        <w:rPr/>
      </w:pPr>
      <w:r>
        <w:rPr/>
        <w:t>Sairaskohtaus-/ tapaturmatilanteessa</w:t>
      </w:r>
    </w:p>
    <w:p>
      <w:pPr>
        <w:pStyle w:val="Normal"/>
        <w:jc w:val="both"/>
        <w:rPr>
          <w:rFonts w:cs="Arial"/>
          <w:sz w:val="20"/>
          <w:szCs w:val="20"/>
        </w:rPr>
      </w:pPr>
      <w:r>
        <w:rPr>
          <w:rFonts w:cs="Arial"/>
          <w:sz w:val="20"/>
          <w:szCs w:val="20"/>
        </w:rPr>
      </w:r>
    </w:p>
    <w:p>
      <w:pPr>
        <w:pStyle w:val="Normal"/>
        <w:jc w:val="both"/>
        <w:rPr>
          <w:rFonts w:cs="Arial"/>
          <w:b/>
          <w:b/>
          <w:sz w:val="20"/>
          <w:szCs w:val="20"/>
        </w:rPr>
      </w:pPr>
      <w:r>
        <w:rPr>
          <w:rFonts w:cs="Arial"/>
          <w:b/>
          <w:sz w:val="20"/>
          <w:szCs w:val="20"/>
        </w:rPr>
        <w:t>Henkeä uhkaavissa tilanteissa (esim. tajuton potilas, rintakipu, hengitysvaikeus) tee välittömästi hätäilmoitus suoraan hätänumeroon 112.</w:t>
      </w:r>
    </w:p>
    <w:p>
      <w:pPr>
        <w:pStyle w:val="Normal"/>
        <w:jc w:val="both"/>
        <w:rPr>
          <w:rFonts w:cs="Arial"/>
          <w:sz w:val="20"/>
          <w:szCs w:val="20"/>
        </w:rPr>
      </w:pPr>
      <w:r>
        <w:rPr>
          <w:rFonts w:cs="Arial"/>
          <w:sz w:val="20"/>
          <w:szCs w:val="20"/>
        </w:rPr>
      </w:r>
    </w:p>
    <w:p>
      <w:pPr>
        <w:pStyle w:val="ListParagraph"/>
        <w:numPr>
          <w:ilvl w:val="0"/>
          <w:numId w:val="4"/>
        </w:numPr>
        <w:spacing w:before="0" w:after="0"/>
        <w:contextualSpacing/>
        <w:jc w:val="both"/>
        <w:rPr>
          <w:rFonts w:cs="Arial"/>
          <w:szCs w:val="20"/>
        </w:rPr>
      </w:pPr>
      <w:r>
        <w:rPr>
          <w:rFonts w:cs="Arial"/>
          <w:b/>
          <w:szCs w:val="20"/>
        </w:rPr>
        <w:t xml:space="preserve">Kutsu paikalle tapahtuman ensiapuvastaava soittamalla numeroon </w:t>
      </w:r>
      <w:r>
        <w:fldChar w:fldCharType="begin">
          <w:ffData>
            <w:name w:val="Teksti2"/>
            <w:enabled/>
            <w:calcOnExit w:val="0"/>
            <w:textInput/>
          </w:ffData>
        </w:fldChar>
      </w:r>
      <w:r>
        <w:rPr>
          <w:sz w:val="22"/>
          <w:b/>
          <w:szCs w:val="20"/>
          <w:rFonts w:cs="Arial"/>
        </w:rPr>
        <w:instrText xml:space="preserve"> FORMTEXT </w:instrText>
      </w:r>
      <w:r>
        <w:rPr>
          <w:rFonts w:cs="Arial"/>
          <w:b/>
          <w:sz w:val="22"/>
          <w:szCs w:val="20"/>
        </w:rPr>
      </w:r>
      <w:r>
        <w:rPr>
          <w:sz w:val="22"/>
          <w:b/>
          <w:szCs w:val="20"/>
          <w:rFonts w:cs="Arial"/>
        </w:rPr>
        <w:fldChar w:fldCharType="separate"/>
      </w:r>
      <w:r>
        <w:rPr>
          <w:rFonts w:cs="Arial"/>
          <w:b/>
          <w:sz w:val="22"/>
          <w:szCs w:val="20"/>
        </w:rPr>
      </w:r>
      <w:r>
        <w:rPr>
          <w:rFonts w:cs="Arial"/>
          <w:sz w:val="22"/>
        </w:rPr>
        <w:t>     </w:t>
      </w:r>
      <w:r>
        <w:rPr>
          <w:rFonts w:cs="Arial"/>
          <w:b/>
          <w:sz w:val="22"/>
          <w:szCs w:val="20"/>
        </w:rPr>
      </w:r>
      <w:r>
        <w:rPr>
          <w:sz w:val="22"/>
          <w:b/>
          <w:szCs w:val="20"/>
          <w:rFonts w:cs="Arial"/>
        </w:rPr>
        <w:fldChar w:fldCharType="end"/>
      </w:r>
      <w:r>
        <w:rPr>
          <w:rFonts w:cs="Arial"/>
          <w:b/>
          <w:szCs w:val="20"/>
        </w:rPr>
        <w:t>.</w:t>
      </w:r>
      <w:r>
        <w:rPr>
          <w:rFonts w:cs="Arial"/>
          <w:szCs w:val="20"/>
        </w:rPr>
        <w:t xml:space="preserve"> Toimi hänen antamiensa ohjeiden mukaisesti. Mikäli ensiapuvastaava ei pääse välittömästi paikalle, toimi seuraavien ohjeiden mukaisesti.</w:t>
      </w:r>
    </w:p>
    <w:p>
      <w:pPr>
        <w:pStyle w:val="Normal"/>
        <w:jc w:val="both"/>
        <w:rPr>
          <w:sz w:val="20"/>
          <w:szCs w:val="20"/>
        </w:rPr>
      </w:pPr>
      <w:r>
        <w:rPr>
          <w:sz w:val="20"/>
          <w:szCs w:val="20"/>
        </w:rPr>
      </w:r>
    </w:p>
    <w:p>
      <w:pPr>
        <w:pStyle w:val="ListParagraph"/>
        <w:numPr>
          <w:ilvl w:val="0"/>
          <w:numId w:val="4"/>
        </w:numPr>
        <w:spacing w:before="0" w:after="0"/>
        <w:contextualSpacing/>
        <w:jc w:val="both"/>
        <w:rPr>
          <w:b/>
          <w:b/>
          <w:szCs w:val="20"/>
        </w:rPr>
      </w:pPr>
      <w:r>
        <w:rPr>
          <w:b/>
          <w:szCs w:val="20"/>
        </w:rPr>
        <w:t xml:space="preserve">Selvitä, mitä on tapahtunut. </w:t>
      </w:r>
      <w:r>
        <w:rPr>
          <w:rFonts w:cs="Calibri"/>
          <w:b/>
          <w:bCs/>
          <w:szCs w:val="20"/>
        </w:rPr>
        <w:t xml:space="preserve">Saatko henkilön hereille? </w:t>
      </w:r>
    </w:p>
    <w:p>
      <w:pPr>
        <w:pStyle w:val="ListParagraph"/>
        <w:spacing w:before="0" w:after="0"/>
        <w:ind w:left="360" w:hanging="0"/>
        <w:contextualSpacing w:val="false"/>
        <w:jc w:val="both"/>
        <w:rPr>
          <w:rFonts w:cs="Calibri"/>
          <w:szCs w:val="20"/>
        </w:rPr>
      </w:pPr>
      <w:r>
        <w:rPr>
          <w:rFonts w:cs="Calibri"/>
          <w:szCs w:val="20"/>
        </w:rPr>
        <w:t>Herättele häntä puhuttelemalla ja ravistelemalla. Jos henkilö ei herää,</w:t>
      </w:r>
    </w:p>
    <w:p>
      <w:pPr>
        <w:pStyle w:val="Normal"/>
        <w:jc w:val="both"/>
        <w:rPr>
          <w:rFonts w:cs="Calibri"/>
          <w:sz w:val="20"/>
          <w:szCs w:val="20"/>
        </w:rPr>
      </w:pPr>
      <w:r>
        <w:rPr>
          <w:rFonts w:cs="Calibri"/>
          <w:sz w:val="20"/>
          <w:szCs w:val="20"/>
        </w:rPr>
      </w:r>
    </w:p>
    <w:p>
      <w:pPr>
        <w:pStyle w:val="Normal"/>
        <w:ind w:left="360" w:hanging="0"/>
        <w:jc w:val="both"/>
        <w:rPr>
          <w:rFonts w:cs="Calibri"/>
          <w:b/>
          <w:b/>
          <w:bCs/>
          <w:sz w:val="20"/>
          <w:szCs w:val="20"/>
        </w:rPr>
      </w:pPr>
      <w:r>
        <w:rPr>
          <w:rFonts w:cs="Calibri"/>
          <w:b/>
          <w:bCs/>
          <w:sz w:val="20"/>
          <w:szCs w:val="20"/>
        </w:rPr>
        <w:t>Soita hätänumeroon 112.</w:t>
      </w:r>
    </w:p>
    <w:p>
      <w:pPr>
        <w:pStyle w:val="Normal"/>
        <w:ind w:left="360" w:hanging="0"/>
        <w:jc w:val="both"/>
        <w:rPr>
          <w:rFonts w:cs="Calibri"/>
          <w:b/>
          <w:b/>
          <w:bCs/>
          <w:sz w:val="20"/>
          <w:szCs w:val="20"/>
        </w:rPr>
      </w:pPr>
      <w:r>
        <w:rPr>
          <w:rFonts w:cs="Calibri"/>
          <w:sz w:val="20"/>
          <w:szCs w:val="20"/>
        </w:rPr>
        <w:t>Voit myös huutaa apua, ja pyytää paikalla olevia tekemään hätäilmoituksen numeroon 112. Hätäkeskuksen antamia ohjeita tulee noudattaa.</w:t>
      </w:r>
    </w:p>
    <w:p>
      <w:pPr>
        <w:pStyle w:val="Normal"/>
        <w:jc w:val="both"/>
        <w:rPr>
          <w:rFonts w:cs="Calibri"/>
          <w:b/>
          <w:b/>
          <w:bCs/>
          <w:sz w:val="20"/>
          <w:szCs w:val="20"/>
        </w:rPr>
      </w:pPr>
      <w:r>
        <w:rPr>
          <w:rFonts w:cs="Calibri"/>
          <w:b/>
          <w:bCs/>
          <w:sz w:val="20"/>
          <w:szCs w:val="20"/>
        </w:rPr>
      </w:r>
    </w:p>
    <w:p>
      <w:pPr>
        <w:pStyle w:val="ListParagraph"/>
        <w:numPr>
          <w:ilvl w:val="0"/>
          <w:numId w:val="4"/>
        </w:numPr>
        <w:spacing w:before="0" w:after="0"/>
        <w:contextualSpacing/>
        <w:jc w:val="both"/>
        <w:rPr>
          <w:rFonts w:cs="Calibri"/>
          <w:b/>
          <w:b/>
          <w:bCs/>
          <w:szCs w:val="20"/>
        </w:rPr>
      </w:pPr>
      <w:r>
        <w:rPr>
          <w:rFonts w:cs="Calibri"/>
          <w:b/>
          <w:bCs/>
          <w:szCs w:val="20"/>
        </w:rPr>
        <w:t>Käännä autettava selälleen ja selvitä hengittääkö hän normaalisti? Avaa hengitystie.</w:t>
      </w:r>
    </w:p>
    <w:p>
      <w:pPr>
        <w:pStyle w:val="Normal"/>
        <w:ind w:left="360" w:hanging="0"/>
        <w:jc w:val="both"/>
        <w:rPr>
          <w:rFonts w:cs="Calibri"/>
          <w:b/>
          <w:b/>
          <w:bCs/>
          <w:sz w:val="20"/>
          <w:szCs w:val="20"/>
        </w:rPr>
      </w:pPr>
      <w:r>
        <w:rPr>
          <w:rFonts w:cs="Calibri"/>
          <w:sz w:val="20"/>
          <w:szCs w:val="20"/>
        </w:rPr>
        <w:t xml:space="preserve">Ojenna autettavan pää leuan kärjestä nostamalla ja toisella kädellä otsasta painamalla. </w:t>
      </w:r>
      <w:r>
        <w:rPr>
          <w:rFonts w:cs="Calibri"/>
          <w:b/>
          <w:sz w:val="20"/>
          <w:szCs w:val="20"/>
        </w:rPr>
        <w:t>K</w:t>
      </w:r>
      <w:r>
        <w:rPr>
          <w:rFonts w:cs="Calibri"/>
          <w:b/>
          <w:bCs/>
          <w:sz w:val="20"/>
          <w:szCs w:val="20"/>
        </w:rPr>
        <w:t>atso, kuuntele ja tunnustele hengitystä</w:t>
      </w:r>
      <w:r>
        <w:rPr>
          <w:rFonts w:cs="Calibri"/>
          <w:sz w:val="20"/>
          <w:szCs w:val="20"/>
        </w:rPr>
        <w:t>. Arvioi onko hengitys normaalia, epänormaalia tai se puuttuu. Mikäli epäröit, toimi kuin hengitys ei olisi normaalia.</w:t>
      </w:r>
    </w:p>
    <w:p>
      <w:pPr>
        <w:pStyle w:val="Normal"/>
        <w:jc w:val="both"/>
        <w:rPr>
          <w:rFonts w:cs="Calibri"/>
          <w:sz w:val="20"/>
          <w:szCs w:val="20"/>
        </w:rPr>
      </w:pPr>
      <w:r>
        <w:rPr>
          <w:rFonts w:cs="Calibri"/>
          <w:sz w:val="20"/>
          <w:szCs w:val="20"/>
        </w:rPr>
      </w:r>
    </w:p>
    <w:p>
      <w:pPr>
        <w:pStyle w:val="Normal"/>
        <w:numPr>
          <w:ilvl w:val="0"/>
          <w:numId w:val="3"/>
        </w:numPr>
        <w:jc w:val="both"/>
        <w:rPr>
          <w:rFonts w:cs="Calibri"/>
          <w:sz w:val="20"/>
          <w:szCs w:val="20"/>
        </w:rPr>
      </w:pPr>
      <w:r>
        <w:rPr>
          <w:rFonts w:cs="Calibri"/>
          <w:b/>
          <w:bCs/>
          <w:sz w:val="20"/>
          <w:szCs w:val="20"/>
        </w:rPr>
        <w:t>Hengitys on normaalia</w:t>
      </w:r>
      <w:r>
        <w:rPr>
          <w:rFonts w:cs="Calibri"/>
          <w:sz w:val="20"/>
          <w:szCs w:val="20"/>
        </w:rPr>
        <w:t>.</w:t>
      </w:r>
    </w:p>
    <w:p>
      <w:pPr>
        <w:pStyle w:val="Normal"/>
        <w:ind w:left="360" w:hanging="0"/>
        <w:jc w:val="both"/>
        <w:rPr>
          <w:rFonts w:cs="Calibri"/>
          <w:sz w:val="20"/>
          <w:szCs w:val="20"/>
        </w:rPr>
      </w:pPr>
      <w:r>
        <w:rPr>
          <w:rFonts w:cs="Calibri"/>
          <w:sz w:val="20"/>
          <w:szCs w:val="20"/>
        </w:rPr>
        <w:t>Käännä henkilö kylkiasentoon. Huolehdi, että hengitystie on avoin ja henkilö hengittää normaalisti. Seuraa ja tarkkaile hengitystä ammattiavun tuloon asti.</w:t>
      </w:r>
    </w:p>
    <w:p>
      <w:pPr>
        <w:pStyle w:val="Normal"/>
        <w:numPr>
          <w:ilvl w:val="0"/>
          <w:numId w:val="2"/>
        </w:numPr>
        <w:jc w:val="both"/>
        <w:rPr>
          <w:rFonts w:cs="Calibri"/>
          <w:b/>
          <w:b/>
          <w:bCs/>
          <w:sz w:val="20"/>
          <w:szCs w:val="20"/>
        </w:rPr>
      </w:pPr>
      <w:r>
        <w:rPr>
          <w:rFonts w:cs="Calibri"/>
          <w:b/>
          <w:bCs/>
          <w:sz w:val="20"/>
          <w:szCs w:val="20"/>
        </w:rPr>
        <w:t xml:space="preserve">Hengitys ei ole normaalia tai se puuttuu. </w:t>
      </w:r>
    </w:p>
    <w:p>
      <w:pPr>
        <w:pStyle w:val="Normal"/>
        <w:ind w:firstLine="360"/>
        <w:jc w:val="both"/>
        <w:rPr>
          <w:rFonts w:cs="Calibri"/>
          <w:sz w:val="20"/>
          <w:szCs w:val="20"/>
        </w:rPr>
      </w:pPr>
      <w:r>
        <w:rPr>
          <w:rFonts w:cs="Calibri"/>
          <w:sz w:val="20"/>
          <w:szCs w:val="20"/>
        </w:rPr>
        <w:t>Aloita elvytys.</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 xml:space="preserve">Aloita paineluelvytys. </w:t>
      </w:r>
    </w:p>
    <w:p>
      <w:pPr>
        <w:pStyle w:val="Normal"/>
        <w:ind w:left="360" w:hanging="0"/>
        <w:jc w:val="both"/>
        <w:rPr>
          <w:rFonts w:cs="Calibri"/>
          <w:sz w:val="20"/>
          <w:szCs w:val="20"/>
        </w:rPr>
      </w:pPr>
      <w:r>
        <w:rPr>
          <w:rFonts w:cs="Calibri"/>
          <w:sz w:val="20"/>
          <w:szCs w:val="20"/>
        </w:rPr>
        <w:t>Aseta kämmenesi tyviosa keskelle autettavan rintalastaa ja toinen kätesi rintalastalla olevan käden päälle. Sormet ovat limittäin. Paina suorin käsivarsin kohtisuoraan alaspäin 30 kertaa siten, että rintalasta painuu 5</w:t>
      </w:r>
      <w:r>
        <w:rPr>
          <w:rFonts w:eastAsia="Times New Roman" w:cs="Arial"/>
          <w:sz w:val="22"/>
          <w:lang w:eastAsia="fi-FI"/>
        </w:rPr>
        <w:t>–</w:t>
      </w:r>
      <w:r>
        <w:rPr>
          <w:rFonts w:cs="Calibri"/>
          <w:sz w:val="20"/>
          <w:szCs w:val="20"/>
        </w:rPr>
        <w:t>6 cm. Anna rintakehän palautua paineluiden välissä. Keskimääräinen painelutiheys on 100 kertaa minuutissa, eikä ylitä 120 kertaa minuutissa. Laske painelut ääneen.</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Puhalla 2 kertaa.</w:t>
      </w:r>
    </w:p>
    <w:p>
      <w:pPr>
        <w:pStyle w:val="Normal"/>
        <w:ind w:left="360" w:hanging="0"/>
        <w:jc w:val="both"/>
        <w:rPr>
          <w:rFonts w:cs="Calibri"/>
          <w:sz w:val="20"/>
          <w:szCs w:val="20"/>
        </w:rPr>
      </w:pPr>
      <w:r>
        <w:rPr>
          <w:rFonts w:cs="Calibri"/>
          <w:sz w:val="20"/>
          <w:szCs w:val="20"/>
        </w:rPr>
        <w:t xml:space="preserve">Avaa hengitystie. Aseta suusi tiiviisti autettavan suun päälle ja sulje sormillasi hänen sieraimensa. Puhalla rauhallisesti ilmaa autettavan keuhkoihin. Puhalluksen aikana katso, että autettavan rintakehä nousee (liikkuu). Toista puhallus. Kahden puhalluksen kesto on 5 sekuntia. </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 xml:space="preserve">Jatka elvytystä tauotta rytmillä 30:2 </w:t>
      </w:r>
      <w:r>
        <w:rPr>
          <w:rFonts w:cs="Calibri"/>
          <w:bCs/>
          <w:szCs w:val="20"/>
        </w:rPr>
        <w:t>(30 painallusta ja 2 puhallusta)</w:t>
      </w:r>
    </w:p>
    <w:p>
      <w:pPr>
        <w:pStyle w:val="Normal"/>
        <w:jc w:val="both"/>
        <w:rPr>
          <w:rFonts w:cs="Calibri"/>
          <w:sz w:val="20"/>
          <w:szCs w:val="20"/>
        </w:rPr>
      </w:pPr>
      <w:r>
        <w:rPr>
          <w:rFonts w:cs="Calibri"/>
          <w:sz w:val="20"/>
          <w:szCs w:val="20"/>
        </w:rPr>
        <w:t>kunnes autettava herää: liikkuu, avaa silmänsä ja hengittää normaalisti, ammattihenkilöt antavat luvan lopettaa tai voimasi loppuvat.</w:t>
      </w:r>
    </w:p>
    <w:p>
      <w:pPr>
        <w:pStyle w:val="Normal"/>
        <w:jc w:val="both"/>
        <w:rPr>
          <w:rFonts w:cs="Calibri"/>
          <w:sz w:val="20"/>
          <w:szCs w:val="20"/>
        </w:rPr>
      </w:pPr>
      <w:r>
        <w:rPr>
          <w:rFonts w:cs="Calibri"/>
          <w:sz w:val="20"/>
          <w:szCs w:val="20"/>
        </w:rPr>
      </w:r>
    </w:p>
    <w:p>
      <w:pPr>
        <w:pStyle w:val="Normal"/>
        <w:rPr>
          <w:b/>
          <w:b/>
          <w:sz w:val="20"/>
          <w:szCs w:val="20"/>
        </w:rPr>
      </w:pPr>
      <w:r>
        <w:rPr>
          <w:b/>
          <w:sz w:val="20"/>
          <w:szCs w:val="20"/>
        </w:rPr>
      </w:r>
      <w:r>
        <w:br w:type="page"/>
      </w:r>
    </w:p>
    <w:p>
      <w:pPr>
        <w:pStyle w:val="Alaotsikko"/>
        <w:rPr/>
      </w:pPr>
      <w:r>
        <w:rPr/>
        <w:t>Tulipalotilanteessa</w:t>
      </w:r>
    </w:p>
    <w:p>
      <w:pPr>
        <w:pStyle w:val="Normal"/>
        <w:jc w:val="both"/>
        <w:rPr>
          <w:sz w:val="20"/>
          <w:szCs w:val="20"/>
        </w:rPr>
      </w:pPr>
      <w:r>
        <w:rPr>
          <w:sz w:val="20"/>
          <w:szCs w:val="20"/>
        </w:rPr>
      </w:r>
    </w:p>
    <w:p>
      <w:pPr>
        <w:pStyle w:val="Normal"/>
        <w:jc w:val="both"/>
        <w:rPr>
          <w:rFonts w:cs="Arial"/>
          <w:sz w:val="22"/>
        </w:rPr>
      </w:pPr>
      <w:r>
        <w:rPr>
          <w:sz w:val="20"/>
          <w:szCs w:val="20"/>
        </w:rPr>
        <w:t xml:space="preserve">Ilmoita tulipalosta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szCs w:val="20"/>
        </w:rPr>
      </w:pPr>
      <w:r>
        <w:rPr>
          <w:rFonts w:cs="Arial"/>
          <w:sz w:val="20"/>
          <w:szCs w:val="20"/>
        </w:rPr>
        <w:t xml:space="preserve"> </w:t>
      </w:r>
      <w:r>
        <w:rPr>
          <w:sz w:val="20"/>
          <w:szCs w:val="20"/>
        </w:rPr>
        <w:t>ja toimi seuraavien ohjeiden mukaisesti.</w:t>
      </w:r>
    </w:p>
    <w:p>
      <w:pPr>
        <w:pStyle w:val="Normal"/>
        <w:jc w:val="both"/>
        <w:rPr>
          <w:sz w:val="20"/>
          <w:szCs w:val="20"/>
        </w:rPr>
      </w:pPr>
      <w:r>
        <w:rPr>
          <w:sz w:val="20"/>
          <w:szCs w:val="20"/>
        </w:rPr>
      </w:r>
    </w:p>
    <w:p>
      <w:pPr>
        <w:pStyle w:val="Normal"/>
        <w:jc w:val="both"/>
        <w:rPr>
          <w:b/>
          <w:b/>
          <w:sz w:val="20"/>
          <w:szCs w:val="20"/>
        </w:rPr>
      </w:pPr>
      <w:r>
        <w:rPr>
          <w:b/>
          <w:sz w:val="20"/>
          <w:szCs w:val="20"/>
        </w:rPr>
        <w:t>Pelasta ja varoita</w:t>
      </w:r>
    </w:p>
    <w:p>
      <w:pPr>
        <w:pStyle w:val="Normal"/>
        <w:numPr>
          <w:ilvl w:val="0"/>
          <w:numId w:val="7"/>
        </w:numPr>
        <w:jc w:val="both"/>
        <w:rPr>
          <w:sz w:val="20"/>
          <w:szCs w:val="20"/>
        </w:rPr>
      </w:pPr>
      <w:r>
        <w:rPr>
          <w:sz w:val="20"/>
          <w:szCs w:val="20"/>
        </w:rPr>
        <w:t xml:space="preserve">Säilytä malttisi. Toimi rauhallisesti ja harkiten, mutta kuitenkin ripeästi. </w:t>
      </w:r>
    </w:p>
    <w:p>
      <w:pPr>
        <w:pStyle w:val="Normal"/>
        <w:numPr>
          <w:ilvl w:val="0"/>
          <w:numId w:val="7"/>
        </w:numPr>
        <w:jc w:val="both"/>
        <w:rPr>
          <w:sz w:val="20"/>
          <w:szCs w:val="20"/>
        </w:rPr>
      </w:pPr>
      <w:r>
        <w:rPr>
          <w:sz w:val="20"/>
          <w:szCs w:val="20"/>
        </w:rPr>
        <w:t>Pelasta ja varoita välittömässä vaarassa olevia. Älä kuitenkaan saata itseäsi hengenvaaraan.</w:t>
      </w:r>
    </w:p>
    <w:p>
      <w:pPr>
        <w:pStyle w:val="Normal"/>
        <w:jc w:val="both"/>
        <w:rPr>
          <w:b/>
          <w:b/>
          <w:sz w:val="20"/>
          <w:szCs w:val="20"/>
        </w:rPr>
      </w:pPr>
      <w:r>
        <w:rPr>
          <w:b/>
          <w:sz w:val="20"/>
          <w:szCs w:val="20"/>
        </w:rPr>
        <w:t>Sammuta</w:t>
      </w:r>
    </w:p>
    <w:p>
      <w:pPr>
        <w:pStyle w:val="Normal"/>
        <w:numPr>
          <w:ilvl w:val="0"/>
          <w:numId w:val="8"/>
        </w:numPr>
        <w:jc w:val="both"/>
        <w:rPr>
          <w:sz w:val="20"/>
          <w:szCs w:val="20"/>
        </w:rPr>
      </w:pPr>
      <w:r>
        <w:rPr>
          <w:sz w:val="20"/>
          <w:szCs w:val="20"/>
        </w:rPr>
        <w:t>Yritä sammuttaa palo tai rajoittaa sitä alkusammutusvälineillä, kun palo on vielä hallittavissa.</w:t>
      </w:r>
    </w:p>
    <w:p>
      <w:pPr>
        <w:pStyle w:val="Normal"/>
        <w:numPr>
          <w:ilvl w:val="0"/>
          <w:numId w:val="8"/>
        </w:numPr>
        <w:jc w:val="both"/>
        <w:rPr>
          <w:sz w:val="20"/>
          <w:szCs w:val="20"/>
        </w:rPr>
      </w:pPr>
      <w:r>
        <w:rPr>
          <w:sz w:val="20"/>
          <w:szCs w:val="20"/>
        </w:rPr>
        <w:t>Älä sammuta vedellä rasvapaloa, rasvapalo leviää räjähdysmäisesti jo pienestä vesimäärästä.</w:t>
      </w:r>
    </w:p>
    <w:p>
      <w:pPr>
        <w:pStyle w:val="Normal"/>
        <w:numPr>
          <w:ilvl w:val="0"/>
          <w:numId w:val="8"/>
        </w:numPr>
        <w:jc w:val="both"/>
        <w:rPr>
          <w:sz w:val="20"/>
          <w:szCs w:val="20"/>
        </w:rPr>
      </w:pPr>
      <w:r>
        <w:rPr>
          <w:sz w:val="20"/>
          <w:szCs w:val="20"/>
        </w:rPr>
        <w:t>Vältä savukaasujen hengittämistä. Mene palon lähelle vasta, kun sinulla on alkusammutusvälineet käyttövalmiina.</w:t>
      </w:r>
    </w:p>
    <w:p>
      <w:pPr>
        <w:pStyle w:val="Normal"/>
        <w:numPr>
          <w:ilvl w:val="0"/>
          <w:numId w:val="8"/>
        </w:numPr>
        <w:jc w:val="both"/>
        <w:rPr>
          <w:sz w:val="20"/>
          <w:szCs w:val="20"/>
        </w:rPr>
      </w:pPr>
      <w:r>
        <w:rPr>
          <w:sz w:val="20"/>
          <w:szCs w:val="20"/>
        </w:rPr>
        <w:t>Jos paloa ei pysty turvallisesti sammuttamaan, yritä rajoittaa paloa sulkemalla ovi. Älä vaaranna itseäsi. Jos palavaan tilaan johtava ovi on kiinni ja kahva tai ovi on kuuma, älä avaa ovea.</w:t>
      </w:r>
    </w:p>
    <w:p>
      <w:pPr>
        <w:pStyle w:val="Normal"/>
        <w:jc w:val="both"/>
        <w:rPr>
          <w:b/>
          <w:b/>
          <w:sz w:val="20"/>
          <w:szCs w:val="20"/>
        </w:rPr>
      </w:pPr>
      <w:r>
        <w:rPr>
          <w:b/>
          <w:sz w:val="20"/>
          <w:szCs w:val="20"/>
        </w:rPr>
        <w:t xml:space="preserve">Hälytä apua </w:t>
      </w:r>
      <w:r>
        <w:rPr>
          <w:sz w:val="20"/>
          <w:szCs w:val="20"/>
        </w:rPr>
        <w:t xml:space="preserve">soittamalla hätänumeroon 112. </w:t>
      </w:r>
    </w:p>
    <w:p>
      <w:pPr>
        <w:pStyle w:val="Normal"/>
        <w:numPr>
          <w:ilvl w:val="0"/>
          <w:numId w:val="9"/>
        </w:numPr>
        <w:jc w:val="both"/>
        <w:rPr>
          <w:sz w:val="20"/>
          <w:szCs w:val="20"/>
        </w:rPr>
      </w:pPr>
      <w:r>
        <w:rPr>
          <w:sz w:val="20"/>
          <w:szCs w:val="20"/>
        </w:rPr>
        <w:t>Muista! Savu tappaa. Älä siis viivyttele palavassa tilassa. Älä koskaan poistu savuiseen tilaan.</w:t>
      </w:r>
    </w:p>
    <w:p>
      <w:pPr>
        <w:pStyle w:val="Normal"/>
        <w:jc w:val="both"/>
        <w:rPr>
          <w:b/>
          <w:b/>
          <w:sz w:val="20"/>
          <w:szCs w:val="20"/>
        </w:rPr>
      </w:pPr>
      <w:r>
        <w:rPr>
          <w:b/>
          <w:sz w:val="20"/>
          <w:szCs w:val="20"/>
        </w:rPr>
        <w:t xml:space="preserve">Rajoita </w:t>
      </w:r>
      <w:r>
        <w:rPr>
          <w:sz w:val="20"/>
          <w:szCs w:val="20"/>
        </w:rPr>
        <w:t>palon leviämistä sulkemalla ovet, ikkunat ja ilmanvaihto.</w:t>
      </w:r>
    </w:p>
    <w:p>
      <w:pPr>
        <w:pStyle w:val="Normal"/>
        <w:jc w:val="both"/>
        <w:rPr>
          <w:b/>
          <w:b/>
          <w:sz w:val="20"/>
          <w:szCs w:val="20"/>
        </w:rPr>
      </w:pPr>
      <w:r>
        <w:rPr>
          <w:b/>
          <w:sz w:val="20"/>
          <w:szCs w:val="20"/>
        </w:rPr>
        <w:t xml:space="preserve">Opasta </w:t>
      </w:r>
      <w:r>
        <w:rPr>
          <w:sz w:val="20"/>
          <w:szCs w:val="20"/>
        </w:rPr>
        <w:t xml:space="preserve">pelastushenkilöstö paikalle. </w:t>
      </w:r>
    </w:p>
    <w:p>
      <w:pPr>
        <w:pStyle w:val="Normal"/>
        <w:jc w:val="both"/>
        <w:rPr>
          <w:sz w:val="20"/>
          <w:szCs w:val="20"/>
        </w:rPr>
      </w:pPr>
      <w:r>
        <w:rPr>
          <w:sz w:val="20"/>
          <w:szCs w:val="20"/>
        </w:rPr>
      </w:r>
    </w:p>
    <w:p>
      <w:pPr>
        <w:pStyle w:val="Normal"/>
        <w:jc w:val="both"/>
        <w:rPr>
          <w:sz w:val="20"/>
          <w:szCs w:val="20"/>
        </w:rPr>
      </w:pPr>
      <w:r>
        <w:rPr>
          <w:sz w:val="20"/>
          <w:szCs w:val="20"/>
        </w:rPr>
        <w:t xml:space="preserve">Toimenpidejärjestys voi vaihdella tilanteen mukaan! </w:t>
      </w:r>
    </w:p>
    <w:p>
      <w:pPr>
        <w:pStyle w:val="Normal"/>
        <w:jc w:val="both"/>
        <w:rPr>
          <w:sz w:val="20"/>
          <w:szCs w:val="20"/>
        </w:rPr>
      </w:pPr>
      <w:r>
        <w:rPr>
          <w:sz w:val="20"/>
          <w:szCs w:val="20"/>
        </w:rPr>
      </w:r>
    </w:p>
    <w:p>
      <w:pPr>
        <w:pStyle w:val="Normal"/>
        <w:jc w:val="both"/>
        <w:rPr>
          <w:sz w:val="20"/>
          <w:szCs w:val="20"/>
        </w:rPr>
      </w:pPr>
      <w:r>
        <w:rPr>
          <w:sz w:val="20"/>
          <w:szCs w:val="20"/>
        </w:rPr>
      </w:r>
    </w:p>
    <w:p>
      <w:pPr>
        <w:pStyle w:val="Alaotsikko"/>
        <w:rPr/>
      </w:pPr>
      <w:r>
        <w:rPr/>
        <w:t>Vaikeassa sääolosuhteessa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vaikeasta sääolosuhteesta tapahtuman turvallisuuspäällikölle/järjestäjälle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0"/>
          <w:szCs w:val="20"/>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Pyri rauhoittelemaan yleisöä.</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Mikäli sääolosuhde yltyy vaikeaksi, ohjaa yleisö pois tilapäisten rakenteiden, puiden ja irtaimiston läheisyydestä. Jos mahdollista, ohjaa yleisö siirtymään sisätiloihin (ei telttoihin!).</w:t>
      </w:r>
    </w:p>
    <w:p>
      <w:pPr>
        <w:pStyle w:val="ListParagraph"/>
        <w:spacing w:before="0" w:after="0"/>
        <w:contextualSpacing/>
        <w:rPr>
          <w:rFonts w:cs="Arial"/>
          <w:szCs w:val="20"/>
        </w:rPr>
      </w:pPr>
      <w:r>
        <w:rPr>
          <w:rFonts w:cs="Arial"/>
          <w:szCs w:val="20"/>
        </w:rPr>
      </w:r>
    </w:p>
    <w:p>
      <w:pPr>
        <w:pStyle w:val="ListParagraph"/>
        <w:numPr>
          <w:ilvl w:val="0"/>
          <w:numId w:val="10"/>
        </w:numPr>
        <w:spacing w:before="0" w:after="0"/>
        <w:ind w:left="360" w:hanging="360"/>
        <w:contextualSpacing/>
        <w:jc w:val="both"/>
        <w:rPr>
          <w:rFonts w:cs="Arial"/>
          <w:szCs w:val="20"/>
        </w:rPr>
      </w:pPr>
      <w:r>
        <w:rPr>
          <w:rFonts w:cs="Arial"/>
          <w:szCs w:val="20"/>
        </w:rPr>
        <w:t xml:space="preserve">Rajuilman sattuessa tai tuulen yltyessä yli 15 m/s telttojen kiinnitystä tehostetaan ennalta määritellyn suunnitelman mukaisesti tai telttojen käyttö keskeytetään. Ihmiset ohjataan pois telttojen läheisyydestä ja teltat puretaan, jos se on mahdollista. Mikäli valmistaja on antanut muita ohjeita, noudatetaan niitä. </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Jos tapahtuma on sisätilassa, sulje ovet ja ikkunat. Älä päästä yleisöä ulkotiloihin. Odota sään tasaantumista.</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Toimi saamiesi ohjeiden mukaisesti.</w:t>
      </w:r>
    </w:p>
    <w:p>
      <w:pPr>
        <w:pStyle w:val="Normal"/>
        <w:jc w:val="both"/>
        <w:rPr>
          <w:rFonts w:cs="Arial"/>
          <w:szCs w:val="20"/>
        </w:rPr>
      </w:pPr>
      <w:r>
        <w:rPr>
          <w:rFonts w:cs="Arial"/>
          <w:szCs w:val="20"/>
        </w:rPr>
      </w:r>
    </w:p>
    <w:p>
      <w:pPr>
        <w:pStyle w:val="Normal"/>
        <w:jc w:val="both"/>
        <w:rPr>
          <w:rFonts w:cs="Arial"/>
          <w:sz w:val="20"/>
          <w:szCs w:val="20"/>
        </w:rPr>
      </w:pPr>
      <w:r>
        <w:rPr>
          <w:rFonts w:cs="Arial"/>
          <w:sz w:val="20"/>
          <w:szCs w:val="20"/>
        </w:rPr>
        <w:t xml:space="preserve">Toimintaohjeita sääilmiöiltä suojautumiseen löytyy myös Ilmatieteenlaitoksen verkkosivuilta osoitteesta </w:t>
      </w:r>
      <w:hyperlink r:id="rId3">
        <w:r>
          <w:rPr>
            <w:rStyle w:val="Internetlinkki"/>
            <w:rFonts w:cs="Arial"/>
            <w:sz w:val="20"/>
            <w:szCs w:val="20"/>
          </w:rPr>
          <w:t>http://ilmatieteenlaitos.fi/varoitukset</w:t>
        </w:r>
      </w:hyperlink>
      <w:r>
        <w:rPr>
          <w:rFonts w:cs="Arial"/>
          <w:sz w:val="20"/>
          <w:szCs w:val="20"/>
        </w:rPr>
        <w:t>.</w:t>
      </w:r>
    </w:p>
    <w:p>
      <w:pPr>
        <w:pStyle w:val="Normal"/>
        <w:jc w:val="both"/>
        <w:rPr>
          <w:rFonts w:cs="Arial"/>
          <w:b/>
          <w:b/>
          <w:sz w:val="20"/>
          <w:szCs w:val="20"/>
        </w:rPr>
      </w:pPr>
      <w:r>
        <w:rPr>
          <w:rFonts w:cs="Arial"/>
          <w:b/>
          <w:sz w:val="20"/>
          <w:szCs w:val="20"/>
        </w:rPr>
      </w:r>
    </w:p>
    <w:p>
      <w:pPr>
        <w:pStyle w:val="Normal"/>
        <w:jc w:val="both"/>
        <w:rPr>
          <w:rFonts w:cs="Arial"/>
          <w:b/>
          <w:b/>
          <w:sz w:val="20"/>
          <w:szCs w:val="20"/>
        </w:rPr>
      </w:pPr>
      <w:r>
        <w:rPr>
          <w:rFonts w:cs="Arial"/>
          <w:b/>
          <w:sz w:val="20"/>
          <w:szCs w:val="20"/>
        </w:rPr>
      </w:r>
    </w:p>
    <w:p>
      <w:pPr>
        <w:pStyle w:val="Alaotsikko"/>
        <w:rPr/>
      </w:pPr>
      <w:r>
        <w:rPr/>
        <w:t>Väentungostilanteessa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väentungoksesta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2"/>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Pyri rauhoittamaan yleisöä.</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Ohjaa yleisöä poispäin väentungoksesta.</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Valmistaudu tapahtuma-alueen evakuointiin.</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Mikäli tapahtuma-alue tai sen osa joudutaan evakuoimaan, toimi saamiesi ohjeiden mukaisesti. Ohjaa yleisöä käyttämään lähintä poistumisreittiä, mikäli se on turvallista.</w:t>
      </w:r>
    </w:p>
    <w:p>
      <w:pPr>
        <w:pStyle w:val="Normal"/>
        <w:jc w:val="both"/>
        <w:rPr>
          <w:rFonts w:cs="Arial"/>
          <w:b/>
          <w:b/>
          <w:sz w:val="20"/>
          <w:szCs w:val="20"/>
        </w:rPr>
      </w:pPr>
      <w:r>
        <w:rPr>
          <w:rFonts w:cs="Arial"/>
          <w:b/>
          <w:sz w:val="20"/>
          <w:szCs w:val="20"/>
        </w:rPr>
      </w:r>
    </w:p>
    <w:p>
      <w:pPr>
        <w:pStyle w:val="Alaotsikko"/>
        <w:rPr/>
      </w:pPr>
      <w:r>
        <w:rPr/>
        <w:t>Häiriökäyttäytymistilanteessa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häiriökäyttäytymisestä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2"/>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mene uhkaavaan tilanteeseen yksin.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Säilytä riittävä etäisyys uhkaavaan henkilöön.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Puhu uhkaavalle henkilölle selkeästi, lyhyesti ja myötäile häntä.</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keskeytä, vähättele tai provosoidu vastauhkailuun.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Pidä kädet näkyvissä ja vältä uhkaavan henkilön tuijottamista.</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käännä uhkaavalle henkilölle selkääsi.</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Pyri rauhoittamaan tilanne.</w:t>
      </w:r>
    </w:p>
    <w:p>
      <w:pPr>
        <w:sectPr>
          <w:type w:val="nextPage"/>
          <w:pgSz w:w="11906" w:h="16838"/>
          <w:pgMar w:left="1134" w:right="1134" w:gutter="0" w:header="0" w:top="1418" w:footer="0" w:bottom="1418"/>
          <w:pgNumType w:fmt="decimal"/>
          <w:formProt w:val="false"/>
          <w:textDirection w:val="lrTb"/>
          <w:docGrid w:type="default" w:linePitch="360" w:charSpace="0"/>
        </w:sectPr>
        <w:pStyle w:val="ListParagraph"/>
        <w:spacing w:before="0" w:after="0"/>
        <w:contextualSpacing/>
        <w:rPr>
          <w:rFonts w:cs="Arial"/>
          <w:szCs w:val="20"/>
        </w:rPr>
      </w:pPr>
      <w:r>
        <w:rPr>
          <w:rFonts w:cs="Arial"/>
          <w:szCs w:val="20"/>
        </w:rPr>
      </w:r>
    </w:p>
    <w:p>
      <w:pPr>
        <w:pStyle w:val="Otsikko1"/>
        <w:numPr>
          <w:ilvl w:val="0"/>
          <w:numId w:val="1"/>
        </w:numPr>
        <w:ind w:left="360" w:hanging="360"/>
        <w:rPr/>
      </w:pPr>
      <w:bookmarkStart w:id="8" w:name="_Toc387754666"/>
      <w:bookmarkStart w:id="9" w:name="_Toc387747996"/>
      <w:r>
        <w:rPr/>
        <w:t>LIITTEET</w:t>
      </w:r>
      <w:bookmarkEnd w:id="8"/>
      <w:bookmarkEnd w:id="9"/>
    </w:p>
    <w:p>
      <w:pPr>
        <w:pStyle w:val="Normal"/>
        <w:rPr/>
      </w:pPr>
      <w:r>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394"/>
        <w:gridCol w:w="1243"/>
      </w:tblGrid>
      <w:tr>
        <w:trPr/>
        <w:tc>
          <w:tcPr>
            <w:tcW w:w="8394" w:type="dxa"/>
            <w:tcBorders/>
          </w:tcPr>
          <w:p>
            <w:pPr>
              <w:pStyle w:val="Normal"/>
              <w:widowControl/>
              <w:spacing w:before="0" w:after="0"/>
              <w:jc w:val="both"/>
              <w:rPr>
                <w:rFonts w:cs="Arial"/>
                <w:sz w:val="22"/>
              </w:rPr>
            </w:pPr>
            <w:r>
              <w:rPr>
                <w:rFonts w:eastAsia="Calibri" w:cs="Arial"/>
                <w:kern w:val="0"/>
                <w:sz w:val="22"/>
                <w:szCs w:val="22"/>
                <w:lang w:val="fi-FI" w:eastAsia="en-US" w:bidi="ar-SA"/>
              </w:rPr>
              <w:t>Pohjakartta</w:t>
            </w:r>
          </w:p>
        </w:tc>
        <w:tc>
          <w:tcPr>
            <w:tcW w:w="1243" w:type="dxa"/>
            <w:tcBorders/>
          </w:tcPr>
          <w:p>
            <w:pPr>
              <w:pStyle w:val="Normal"/>
              <w:widowControl/>
              <w:spacing w:before="0" w:after="0"/>
              <w:jc w:val="center"/>
              <w:rPr>
                <w:rFonts w:cs="Arial"/>
                <w:sz w:val="22"/>
              </w:rPr>
            </w:pPr>
            <w:r>
              <w:rPr>
                <w:rFonts w:eastAsia="Calibri" w:cs="Arial"/>
                <w:kern w:val="0"/>
                <w:sz w:val="22"/>
                <w:szCs w:val="22"/>
                <w:lang w:val="fi-FI" w:eastAsia="en-US" w:bidi="ar-SA"/>
              </w:rPr>
            </w:r>
          </w:p>
        </w:tc>
      </w:tr>
    </w:tbl>
    <w:p>
      <w:pPr>
        <w:sectPr>
          <w:type w:val="nextPage"/>
          <w:pgSz w:w="11906" w:h="16838"/>
          <w:pgMar w:left="1134" w:right="1134" w:gutter="0" w:header="0" w:top="1418" w:footer="0" w:bottom="1418"/>
          <w:pgNumType w:fmt="decimal"/>
          <w:formProt w:val="false"/>
          <w:textDirection w:val="lrTb"/>
          <w:docGrid w:type="default" w:linePitch="360" w:charSpace="0"/>
        </w:sectPr>
        <w:pStyle w:val="Normal"/>
        <w:ind w:left="851" w:hanging="567"/>
        <w:jc w:val="both"/>
        <w:rPr>
          <w:rFonts w:cs="Arial"/>
          <w:szCs w:val="24"/>
        </w:rPr>
      </w:pPr>
      <w:r>
        <w:rPr>
          <w:rFonts w:cs="Arial"/>
          <w:szCs w:val="24"/>
        </w:rPr>
      </w:r>
    </w:p>
    <w:p>
      <w:pPr>
        <w:pStyle w:val="Alaotsikko"/>
        <w:rPr>
          <w:b w:val="false"/>
          <w:b w:val="false"/>
        </w:rPr>
      </w:pPr>
      <w:bookmarkStart w:id="10" w:name="_Toc387747997"/>
      <w:r>
        <w:rPr/>
        <w:t>POHJAKARTTA</w:t>
      </w:r>
      <w:bookmarkEnd w:id="10"/>
    </w:p>
    <w:p>
      <w:pPr>
        <w:pStyle w:val="Normal"/>
        <w:jc w:val="both"/>
        <w:rPr>
          <w:rFonts w:cs="Arial"/>
          <w:b/>
          <w:b/>
          <w:szCs w:val="24"/>
        </w:rPr>
      </w:pPr>
      <w:r>
        <w:rPr/>
      </w:r>
    </w:p>
    <w:sectPr>
      <w:type w:val="nextPage"/>
      <w:pgSz w:w="11906" w:h="16838"/>
      <w:pgMar w:left="1134" w:right="1134" w:gutter="0" w:header="0"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swiss"/>
    <w:pitch w:val="variable"/>
  </w:font>
  <w:font w:name="Univers LT Std 45 Light">
    <w:charset w:val="00"/>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2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3"/>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3"/>
      <w:numFmt w:val="bullet"/>
      <w:lvlText w:val=""/>
      <w:lvlJc w:val="left"/>
      <w:pPr>
        <w:tabs>
          <w:tab w:val="num" w:pos="0"/>
        </w:tabs>
        <w:ind w:left="720" w:hanging="360"/>
      </w:pPr>
      <w:rPr>
        <w:rFonts w:ascii="Wingdings" w:hAnsi="Wingdings" w:cs="Wingding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numFmt w:val="bullet"/>
      <w:lvlText w:val="-"/>
      <w:lvlJc w:val="left"/>
      <w:pPr>
        <w:tabs>
          <w:tab w:val="num" w:pos="0"/>
        </w:tabs>
        <w:ind w:left="360" w:hanging="360"/>
      </w:pPr>
      <w:rPr>
        <w:rFonts w:ascii="Arial" w:hAnsi="Arial" w:cs="Arial"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3"/>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start w:val="3"/>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numFmt w:val="bullet"/>
      <w:lvlText w:val="-"/>
      <w:lvlJc w:val="left"/>
      <w:pPr>
        <w:tabs>
          <w:tab w:val="num" w:pos="0"/>
        </w:tabs>
        <w:ind w:left="397" w:hanging="397"/>
      </w:pPr>
      <w:rPr>
        <w:rFonts w:ascii="Arial" w:hAnsi="Arial" w:cs="Arial"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5c28"/>
    <w:pPr>
      <w:widowControl/>
      <w:suppressAutoHyphens w:val="false"/>
      <w:bidi w:val="0"/>
      <w:spacing w:lineRule="auto" w:line="240" w:before="0" w:after="0"/>
      <w:jc w:val="left"/>
    </w:pPr>
    <w:rPr>
      <w:rFonts w:ascii="Arial" w:hAnsi="Arial" w:eastAsia="Calibri" w:cs="" w:cstheme="minorBidi" w:eastAsiaTheme="minorHAnsi"/>
      <w:color w:val="auto"/>
      <w:kern w:val="0"/>
      <w:sz w:val="24"/>
      <w:szCs w:val="22"/>
      <w:lang w:val="fi-FI" w:eastAsia="en-US" w:bidi="ar-SA"/>
    </w:rPr>
  </w:style>
  <w:style w:type="paragraph" w:styleId="Otsikko1">
    <w:name w:val="Heading 1"/>
    <w:basedOn w:val="Normal"/>
    <w:next w:val="Normal"/>
    <w:link w:val="Heading1Char"/>
    <w:uiPriority w:val="9"/>
    <w:qFormat/>
    <w:rsid w:val="00335c28"/>
    <w:pPr>
      <w:keepNext w:val="true"/>
      <w:keepLines/>
      <w:numPr>
        <w:ilvl w:val="0"/>
        <w:numId w:val="1"/>
      </w:numPr>
      <w:ind w:left="360" w:hanging="0"/>
      <w:outlineLvl w:val="0"/>
    </w:pPr>
    <w:rPr>
      <w:rFonts w:eastAsia="" w:cs="Calibri Light" w:cstheme="majorHAnsi" w:eastAsiaTheme="majorEastAsia"/>
      <w:b/>
      <w:bCs/>
      <w:caps/>
      <w:sz w:val="22"/>
      <w:szCs w:val="28"/>
    </w:rPr>
  </w:style>
  <w:style w:type="paragraph" w:styleId="Otsikko2">
    <w:name w:val="Heading 2"/>
    <w:basedOn w:val="Normal"/>
    <w:next w:val="Normal"/>
    <w:link w:val="Heading2Char"/>
    <w:uiPriority w:val="9"/>
    <w:unhideWhenUsed/>
    <w:qFormat/>
    <w:rsid w:val="00144eef"/>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Otsikko3">
    <w:name w:val="Heading 3"/>
    <w:basedOn w:val="Normal"/>
    <w:next w:val="Normal"/>
    <w:link w:val="Heading3Char"/>
    <w:uiPriority w:val="9"/>
    <w:semiHidden/>
    <w:unhideWhenUsed/>
    <w:qFormat/>
    <w:rsid w:val="0012578b"/>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Cs w:val="24"/>
    </w:rPr>
  </w:style>
  <w:style w:type="paragraph" w:styleId="Otsikko4">
    <w:name w:val="Heading 4"/>
    <w:basedOn w:val="Normal"/>
    <w:next w:val="Normal"/>
    <w:link w:val="Heading4Char"/>
    <w:uiPriority w:val="9"/>
    <w:semiHidden/>
    <w:unhideWhenUsed/>
    <w:qFormat/>
    <w:rsid w:val="0093681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Otsikko5">
    <w:name w:val="Heading 5"/>
    <w:basedOn w:val="Normal"/>
    <w:next w:val="Normal"/>
    <w:link w:val="Heading5Char"/>
    <w:uiPriority w:val="9"/>
    <w:semiHidden/>
    <w:unhideWhenUsed/>
    <w:qFormat/>
    <w:rsid w:val="0069621a"/>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Otsikko6">
    <w:name w:val="Heading 6"/>
    <w:basedOn w:val="Normal"/>
    <w:next w:val="Normal"/>
    <w:link w:val="Heading6Char"/>
    <w:uiPriority w:val="9"/>
    <w:semiHidden/>
    <w:unhideWhenUsed/>
    <w:qFormat/>
    <w:rsid w:val="0093681f"/>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Otsikko7">
    <w:name w:val="Heading 7"/>
    <w:basedOn w:val="Normal"/>
    <w:next w:val="Normal"/>
    <w:link w:val="Heading7Char"/>
    <w:uiPriority w:val="9"/>
    <w:semiHidden/>
    <w:unhideWhenUsed/>
    <w:qFormat/>
    <w:rsid w:val="0093681f"/>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Otsikko8">
    <w:name w:val="Heading 8"/>
    <w:basedOn w:val="Normal"/>
    <w:next w:val="Normal"/>
    <w:link w:val="Heading8Char"/>
    <w:uiPriority w:val="9"/>
    <w:semiHidden/>
    <w:unhideWhenUsed/>
    <w:qFormat/>
    <w:rsid w:val="0093681f"/>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Otsikko9">
    <w:name w:val="Heading 9"/>
    <w:basedOn w:val="Normal"/>
    <w:next w:val="Normal"/>
    <w:link w:val="Heading9Char"/>
    <w:uiPriority w:val="9"/>
    <w:semiHidden/>
    <w:unhideWhenUsed/>
    <w:qFormat/>
    <w:rsid w:val="0093681f"/>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335c28"/>
    <w:rPr>
      <w:rFonts w:ascii="Arial" w:hAnsi="Arial" w:eastAsia="" w:cs="Calibri Light" w:cstheme="majorHAnsi" w:eastAsiaTheme="majorEastAsia"/>
      <w:b/>
      <w:bCs/>
      <w:caps/>
      <w:szCs w:val="28"/>
    </w:rPr>
  </w:style>
  <w:style w:type="character" w:styleId="Internetlinkki">
    <w:name w:val="Internet-linkki"/>
    <w:basedOn w:val="DefaultParagraphFont"/>
    <w:uiPriority w:val="99"/>
    <w:unhideWhenUsed/>
    <w:rsid w:val="00d20750"/>
    <w:rPr>
      <w:color w:val="0563C1" w:themeColor="hyperlink"/>
      <w:u w:val="single"/>
    </w:rPr>
  </w:style>
  <w:style w:type="character" w:styleId="HeaderChar" w:customStyle="1">
    <w:name w:val="Header Char"/>
    <w:basedOn w:val="DefaultParagraphFont"/>
    <w:uiPriority w:val="99"/>
    <w:qFormat/>
    <w:rsid w:val="003d20da"/>
    <w:rPr>
      <w:rFonts w:ascii="Arial" w:hAnsi="Arial"/>
      <w:sz w:val="24"/>
    </w:rPr>
  </w:style>
  <w:style w:type="character" w:styleId="FooterChar" w:customStyle="1">
    <w:name w:val="Footer Char"/>
    <w:basedOn w:val="DefaultParagraphFont"/>
    <w:uiPriority w:val="99"/>
    <w:qFormat/>
    <w:rsid w:val="003d20da"/>
    <w:rPr>
      <w:rFonts w:ascii="Arial" w:hAnsi="Arial"/>
      <w:sz w:val="24"/>
    </w:rPr>
  </w:style>
  <w:style w:type="character" w:styleId="Heading2Char" w:customStyle="1">
    <w:name w:val="Heading 2 Char"/>
    <w:basedOn w:val="DefaultParagraphFont"/>
    <w:uiPriority w:val="9"/>
    <w:qFormat/>
    <w:rsid w:val="00144eef"/>
    <w:rPr>
      <w:rFonts w:ascii="Calibri Light" w:hAnsi="Calibri Light" w:eastAsia="" w:cs="" w:asciiTheme="majorHAnsi" w:cstheme="majorBidi" w:eastAsiaTheme="majorEastAsia" w:hAnsiTheme="majorHAnsi"/>
      <w:color w:val="2E74B5" w:themeColor="accent1" w:themeShade="bf"/>
      <w:sz w:val="26"/>
      <w:szCs w:val="26"/>
    </w:rPr>
  </w:style>
  <w:style w:type="character" w:styleId="Heading3Char" w:customStyle="1">
    <w:name w:val="Heading 3 Char"/>
    <w:basedOn w:val="DefaultParagraphFont"/>
    <w:uiPriority w:val="9"/>
    <w:semiHidden/>
    <w:qFormat/>
    <w:rsid w:val="0012578b"/>
    <w:rPr>
      <w:rFonts w:ascii="Calibri Light" w:hAnsi="Calibri Light" w:eastAsia="" w:cs="" w:asciiTheme="majorHAnsi" w:cstheme="majorBidi" w:eastAsiaTheme="majorEastAsia" w:hAnsiTheme="majorHAnsi"/>
      <w:color w:val="1F4D78" w:themeColor="accent1" w:themeShade="7f"/>
      <w:sz w:val="24"/>
      <w:szCs w:val="24"/>
    </w:rPr>
  </w:style>
  <w:style w:type="character" w:styleId="Heading5Char" w:customStyle="1">
    <w:name w:val="Heading 5 Char"/>
    <w:basedOn w:val="DefaultParagraphFont"/>
    <w:uiPriority w:val="9"/>
    <w:semiHidden/>
    <w:qFormat/>
    <w:rsid w:val="0069621a"/>
    <w:rPr>
      <w:rFonts w:ascii="Calibri Light" w:hAnsi="Calibri Light" w:eastAsia="" w:cs="" w:asciiTheme="majorHAnsi" w:cstheme="majorBidi" w:eastAsiaTheme="majorEastAsia" w:hAnsiTheme="majorHAnsi"/>
      <w:color w:val="2E74B5" w:themeColor="accent1" w:themeShade="bf"/>
      <w:sz w:val="24"/>
    </w:rPr>
  </w:style>
  <w:style w:type="character" w:styleId="Annotationreference">
    <w:name w:val="annotation reference"/>
    <w:basedOn w:val="DefaultParagraphFont"/>
    <w:uiPriority w:val="99"/>
    <w:semiHidden/>
    <w:unhideWhenUsed/>
    <w:qFormat/>
    <w:rsid w:val="00a22e18"/>
    <w:rPr>
      <w:sz w:val="16"/>
      <w:szCs w:val="16"/>
    </w:rPr>
  </w:style>
  <w:style w:type="character" w:styleId="CommentTextChar" w:customStyle="1">
    <w:name w:val="Comment Text Char"/>
    <w:basedOn w:val="DefaultParagraphFont"/>
    <w:link w:val="Annotationtext"/>
    <w:uiPriority w:val="99"/>
    <w:semiHidden/>
    <w:qFormat/>
    <w:rsid w:val="00a22e18"/>
    <w:rPr>
      <w:rFonts w:ascii="Arial" w:hAnsi="Arial"/>
      <w:sz w:val="20"/>
      <w:szCs w:val="20"/>
    </w:rPr>
  </w:style>
  <w:style w:type="character" w:styleId="CommentSubjectChar" w:customStyle="1">
    <w:name w:val="Comment Subject Char"/>
    <w:basedOn w:val="CommentTextChar"/>
    <w:link w:val="Annotationsubject"/>
    <w:uiPriority w:val="99"/>
    <w:semiHidden/>
    <w:qFormat/>
    <w:rsid w:val="00a22e18"/>
    <w:rPr>
      <w:rFonts w:ascii="Arial" w:hAnsi="Arial"/>
      <w:b/>
      <w:bCs/>
      <w:sz w:val="20"/>
      <w:szCs w:val="20"/>
    </w:rPr>
  </w:style>
  <w:style w:type="character" w:styleId="BalloonTextChar" w:customStyle="1">
    <w:name w:val="Balloon Text Char"/>
    <w:basedOn w:val="DefaultParagraphFont"/>
    <w:link w:val="BalloonText"/>
    <w:uiPriority w:val="99"/>
    <w:semiHidden/>
    <w:qFormat/>
    <w:rsid w:val="00a22e18"/>
    <w:rPr>
      <w:rFonts w:ascii="Segoe UI" w:hAnsi="Segoe UI" w:cs="Segoe UI"/>
      <w:sz w:val="18"/>
      <w:szCs w:val="18"/>
    </w:rPr>
  </w:style>
  <w:style w:type="character" w:styleId="SubtitleChar" w:customStyle="1">
    <w:name w:val="Subtitle Char"/>
    <w:basedOn w:val="DefaultParagraphFont"/>
    <w:uiPriority w:val="11"/>
    <w:qFormat/>
    <w:rsid w:val="00fb3291"/>
    <w:rPr>
      <w:rFonts w:ascii="Arial" w:hAnsi="Arial" w:eastAsia="" w:cs="Calibri" w:cstheme="minorHAnsi" w:eastAsiaTheme="minorEastAsia"/>
      <w:b/>
    </w:rPr>
  </w:style>
  <w:style w:type="character" w:styleId="FootnoteTextChar" w:customStyle="1">
    <w:name w:val="Footnote Text Char"/>
    <w:basedOn w:val="DefaultParagraphFont"/>
    <w:uiPriority w:val="99"/>
    <w:semiHidden/>
    <w:qFormat/>
    <w:rsid w:val="0093681f"/>
    <w:rPr>
      <w:rFonts w:ascii="Arial" w:hAnsi="Arial"/>
      <w:sz w:val="20"/>
      <w:szCs w:val="20"/>
    </w:rPr>
  </w:style>
  <w:style w:type="character" w:styleId="SignatureChar" w:customStyle="1">
    <w:name w:val="Signature Char"/>
    <w:basedOn w:val="DefaultParagraphFont"/>
    <w:uiPriority w:val="99"/>
    <w:semiHidden/>
    <w:qFormat/>
    <w:rsid w:val="0093681f"/>
    <w:rPr>
      <w:rFonts w:ascii="Arial" w:hAnsi="Arial"/>
      <w:sz w:val="24"/>
    </w:rPr>
  </w:style>
  <w:style w:type="character" w:styleId="DocumentMapChar" w:customStyle="1">
    <w:name w:val="Document Map Char"/>
    <w:basedOn w:val="DefaultParagraphFont"/>
    <w:link w:val="DocumentMap"/>
    <w:uiPriority w:val="99"/>
    <w:semiHidden/>
    <w:qFormat/>
    <w:rsid w:val="0093681f"/>
    <w:rPr>
      <w:rFonts w:ascii="Segoe UI" w:hAnsi="Segoe UI" w:cs="Segoe UI"/>
      <w:sz w:val="16"/>
      <w:szCs w:val="16"/>
    </w:rPr>
  </w:style>
  <w:style w:type="character" w:styleId="IntenseQuoteChar" w:customStyle="1">
    <w:name w:val="Intense Quote Char"/>
    <w:basedOn w:val="DefaultParagraphFont"/>
    <w:link w:val="IntenseQuote"/>
    <w:uiPriority w:val="30"/>
    <w:qFormat/>
    <w:rsid w:val="0093681f"/>
    <w:rPr>
      <w:rFonts w:ascii="Arial" w:hAnsi="Arial"/>
      <w:i/>
      <w:iCs/>
      <w:color w:val="5B9BD5" w:themeColor="accent1"/>
      <w:sz w:val="24"/>
    </w:rPr>
  </w:style>
  <w:style w:type="character" w:styleId="HTMLPreformattedChar" w:customStyle="1">
    <w:name w:val="HTML Preformatted Char"/>
    <w:basedOn w:val="DefaultParagraphFont"/>
    <w:link w:val="HTMLPreformatted"/>
    <w:uiPriority w:val="99"/>
    <w:semiHidden/>
    <w:qFormat/>
    <w:rsid w:val="0093681f"/>
    <w:rPr>
      <w:rFonts w:ascii="Consolas" w:hAnsi="Consolas"/>
      <w:sz w:val="20"/>
      <w:szCs w:val="20"/>
    </w:rPr>
  </w:style>
  <w:style w:type="character" w:styleId="HTMLAddressChar" w:customStyle="1">
    <w:name w:val="HTML Address Char"/>
    <w:basedOn w:val="DefaultParagraphFont"/>
    <w:link w:val="HTMLAddress"/>
    <w:uiPriority w:val="99"/>
    <w:semiHidden/>
    <w:qFormat/>
    <w:rsid w:val="0093681f"/>
    <w:rPr>
      <w:rFonts w:ascii="Arial" w:hAnsi="Arial"/>
      <w:i/>
      <w:iCs/>
      <w:sz w:val="24"/>
    </w:rPr>
  </w:style>
  <w:style w:type="character" w:styleId="NoteHeadingChar" w:customStyle="1">
    <w:name w:val="Note Heading Char"/>
    <w:basedOn w:val="DefaultParagraphFont"/>
    <w:link w:val="NoteHeading"/>
    <w:uiPriority w:val="99"/>
    <w:semiHidden/>
    <w:qFormat/>
    <w:rsid w:val="0093681f"/>
    <w:rPr>
      <w:rFonts w:ascii="Arial" w:hAnsi="Arial"/>
      <w:sz w:val="24"/>
    </w:rPr>
  </w:style>
  <w:style w:type="character" w:styleId="QuoteChar" w:customStyle="1">
    <w:name w:val="Quote Char"/>
    <w:basedOn w:val="DefaultParagraphFont"/>
    <w:link w:val="Quote"/>
    <w:uiPriority w:val="29"/>
    <w:qFormat/>
    <w:rsid w:val="0093681f"/>
    <w:rPr>
      <w:rFonts w:ascii="Arial" w:hAnsi="Arial"/>
      <w:i/>
      <w:iCs/>
      <w:color w:val="404040" w:themeColor="text1" w:themeTint="bf"/>
      <w:sz w:val="24"/>
    </w:rPr>
  </w:style>
  <w:style w:type="character" w:styleId="BodyTextChar" w:customStyle="1">
    <w:name w:val="Body Text Char"/>
    <w:basedOn w:val="DefaultParagraphFont"/>
    <w:uiPriority w:val="99"/>
    <w:semiHidden/>
    <w:qFormat/>
    <w:rsid w:val="0093681f"/>
    <w:rPr>
      <w:rFonts w:ascii="Arial" w:hAnsi="Arial"/>
      <w:sz w:val="24"/>
    </w:rPr>
  </w:style>
  <w:style w:type="character" w:styleId="BodyText2Char" w:customStyle="1">
    <w:name w:val="Body Text 2 Char"/>
    <w:basedOn w:val="DefaultParagraphFont"/>
    <w:link w:val="BodyText2"/>
    <w:uiPriority w:val="99"/>
    <w:semiHidden/>
    <w:qFormat/>
    <w:rsid w:val="0093681f"/>
    <w:rPr>
      <w:rFonts w:ascii="Arial" w:hAnsi="Arial"/>
      <w:sz w:val="24"/>
    </w:rPr>
  </w:style>
  <w:style w:type="character" w:styleId="BodyText3Char" w:customStyle="1">
    <w:name w:val="Body Text 3 Char"/>
    <w:basedOn w:val="DefaultParagraphFont"/>
    <w:link w:val="BodyText3"/>
    <w:uiPriority w:val="99"/>
    <w:semiHidden/>
    <w:qFormat/>
    <w:rsid w:val="0093681f"/>
    <w:rPr>
      <w:rFonts w:ascii="Arial" w:hAnsi="Arial"/>
      <w:sz w:val="16"/>
      <w:szCs w:val="16"/>
    </w:rPr>
  </w:style>
  <w:style w:type="character" w:styleId="BodyTextFirstIndentChar" w:customStyle="1">
    <w:name w:val="Body Text First Indent Char"/>
    <w:basedOn w:val="BodyTextChar"/>
    <w:link w:val="BodyTextIndent"/>
    <w:uiPriority w:val="99"/>
    <w:semiHidden/>
    <w:qFormat/>
    <w:rsid w:val="0093681f"/>
    <w:rPr>
      <w:rFonts w:ascii="Arial" w:hAnsi="Arial"/>
      <w:sz w:val="24"/>
    </w:rPr>
  </w:style>
  <w:style w:type="character" w:styleId="BodyTextIndentChar" w:customStyle="1">
    <w:name w:val="Body Text Indent Char"/>
    <w:basedOn w:val="DefaultParagraphFont"/>
    <w:uiPriority w:val="99"/>
    <w:semiHidden/>
    <w:qFormat/>
    <w:rsid w:val="0093681f"/>
    <w:rPr>
      <w:rFonts w:ascii="Arial" w:hAnsi="Arial"/>
      <w:sz w:val="24"/>
    </w:rPr>
  </w:style>
  <w:style w:type="character" w:styleId="BodyTextFirstIndent2Char" w:customStyle="1">
    <w:name w:val="Body Text First Indent 2 Char"/>
    <w:basedOn w:val="BodyTextIndentChar"/>
    <w:link w:val="BodyTextFirstIndent2"/>
    <w:uiPriority w:val="99"/>
    <w:semiHidden/>
    <w:qFormat/>
    <w:rsid w:val="0093681f"/>
    <w:rPr>
      <w:rFonts w:ascii="Arial" w:hAnsi="Arial"/>
      <w:sz w:val="24"/>
    </w:rPr>
  </w:style>
  <w:style w:type="character" w:styleId="ClosingChar" w:customStyle="1">
    <w:name w:val="Closing Char"/>
    <w:basedOn w:val="DefaultParagraphFont"/>
    <w:link w:val="Closing"/>
    <w:uiPriority w:val="99"/>
    <w:semiHidden/>
    <w:qFormat/>
    <w:rsid w:val="0093681f"/>
    <w:rPr>
      <w:rFonts w:ascii="Arial" w:hAnsi="Arial"/>
      <w:sz w:val="24"/>
    </w:rPr>
  </w:style>
  <w:style w:type="character" w:styleId="EndnoteTextChar" w:customStyle="1">
    <w:name w:val="Endnote Text Char"/>
    <w:basedOn w:val="DefaultParagraphFont"/>
    <w:uiPriority w:val="99"/>
    <w:semiHidden/>
    <w:qFormat/>
    <w:rsid w:val="0093681f"/>
    <w:rPr>
      <w:rFonts w:ascii="Arial" w:hAnsi="Arial"/>
      <w:sz w:val="20"/>
      <w:szCs w:val="20"/>
    </w:rPr>
  </w:style>
  <w:style w:type="character" w:styleId="MacroTextChar" w:customStyle="1">
    <w:name w:val="Macro Text Char"/>
    <w:basedOn w:val="DefaultParagraphFont"/>
    <w:link w:val="Macro"/>
    <w:uiPriority w:val="99"/>
    <w:semiHidden/>
    <w:qFormat/>
    <w:rsid w:val="0093681f"/>
    <w:rPr>
      <w:rFonts w:ascii="Consolas" w:hAnsi="Consolas"/>
      <w:sz w:val="20"/>
      <w:szCs w:val="20"/>
    </w:rPr>
  </w:style>
  <w:style w:type="character" w:styleId="TitleChar" w:customStyle="1">
    <w:name w:val="Title Char"/>
    <w:basedOn w:val="DefaultParagraphFont"/>
    <w:uiPriority w:val="10"/>
    <w:qFormat/>
    <w:rsid w:val="0093681f"/>
    <w:rPr>
      <w:rFonts w:ascii="Calibri Light" w:hAnsi="Calibri Light" w:eastAsia="" w:cs="" w:asciiTheme="majorHAnsi" w:cstheme="majorBidi" w:eastAsiaTheme="majorEastAsia" w:hAnsiTheme="majorHAnsi"/>
      <w:spacing w:val="-10"/>
      <w:kern w:val="2"/>
      <w:sz w:val="56"/>
      <w:szCs w:val="56"/>
    </w:rPr>
  </w:style>
  <w:style w:type="character" w:styleId="Heading4Char" w:customStyle="1">
    <w:name w:val="Heading 4 Char"/>
    <w:basedOn w:val="DefaultParagraphFont"/>
    <w:uiPriority w:val="9"/>
    <w:semiHidden/>
    <w:qFormat/>
    <w:rsid w:val="0093681f"/>
    <w:rPr>
      <w:rFonts w:ascii="Calibri Light" w:hAnsi="Calibri Light" w:eastAsia="" w:cs="" w:asciiTheme="majorHAnsi" w:cstheme="majorBidi" w:eastAsiaTheme="majorEastAsia" w:hAnsiTheme="majorHAnsi"/>
      <w:i/>
      <w:iCs/>
      <w:color w:val="2E74B5" w:themeColor="accent1" w:themeShade="bf"/>
      <w:sz w:val="24"/>
    </w:rPr>
  </w:style>
  <w:style w:type="character" w:styleId="Heading6Char" w:customStyle="1">
    <w:name w:val="Heading 6 Char"/>
    <w:basedOn w:val="DefaultParagraphFont"/>
    <w:uiPriority w:val="9"/>
    <w:semiHidden/>
    <w:qFormat/>
    <w:rsid w:val="0093681f"/>
    <w:rPr>
      <w:rFonts w:ascii="Calibri Light" w:hAnsi="Calibri Light" w:eastAsia="" w:cs="" w:asciiTheme="majorHAnsi" w:cstheme="majorBidi" w:eastAsiaTheme="majorEastAsia" w:hAnsiTheme="majorHAnsi"/>
      <w:color w:val="1F4D78" w:themeColor="accent1" w:themeShade="7f"/>
      <w:sz w:val="24"/>
    </w:rPr>
  </w:style>
  <w:style w:type="character" w:styleId="Heading7Char" w:customStyle="1">
    <w:name w:val="Heading 7 Char"/>
    <w:basedOn w:val="DefaultParagraphFont"/>
    <w:uiPriority w:val="9"/>
    <w:semiHidden/>
    <w:qFormat/>
    <w:rsid w:val="0093681f"/>
    <w:rPr>
      <w:rFonts w:ascii="Calibri Light" w:hAnsi="Calibri Light" w:eastAsia="" w:cs="" w:asciiTheme="majorHAnsi" w:cstheme="majorBidi" w:eastAsiaTheme="majorEastAsia" w:hAnsiTheme="majorHAnsi"/>
      <w:i/>
      <w:iCs/>
      <w:color w:val="1F4D78" w:themeColor="accent1" w:themeShade="7f"/>
      <w:sz w:val="24"/>
    </w:rPr>
  </w:style>
  <w:style w:type="character" w:styleId="Heading8Char" w:customStyle="1">
    <w:name w:val="Heading 8 Char"/>
    <w:basedOn w:val="DefaultParagraphFont"/>
    <w:uiPriority w:val="9"/>
    <w:semiHidden/>
    <w:qFormat/>
    <w:rsid w:val="0093681f"/>
    <w:rPr>
      <w:rFonts w:ascii="Calibri Light" w:hAnsi="Calibri Light" w:eastAsia="" w:cs=""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uiPriority w:val="9"/>
    <w:semiHidden/>
    <w:qFormat/>
    <w:rsid w:val="0093681f"/>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ateChar" w:customStyle="1">
    <w:name w:val="Date Char"/>
    <w:basedOn w:val="DefaultParagraphFont"/>
    <w:link w:val="Date"/>
    <w:uiPriority w:val="99"/>
    <w:semiHidden/>
    <w:qFormat/>
    <w:rsid w:val="0093681f"/>
    <w:rPr>
      <w:rFonts w:ascii="Arial" w:hAnsi="Arial"/>
      <w:sz w:val="24"/>
    </w:rPr>
  </w:style>
  <w:style w:type="character" w:styleId="BodyTextIndent2Char" w:customStyle="1">
    <w:name w:val="Body Text Indent 2 Char"/>
    <w:basedOn w:val="DefaultParagraphFont"/>
    <w:link w:val="BodyTextIndent2"/>
    <w:uiPriority w:val="99"/>
    <w:semiHidden/>
    <w:qFormat/>
    <w:rsid w:val="0093681f"/>
    <w:rPr>
      <w:rFonts w:ascii="Arial" w:hAnsi="Arial"/>
      <w:sz w:val="24"/>
    </w:rPr>
  </w:style>
  <w:style w:type="character" w:styleId="BodyTextIndent3Char" w:customStyle="1">
    <w:name w:val="Body Text Indent 3 Char"/>
    <w:basedOn w:val="DefaultParagraphFont"/>
    <w:link w:val="BodyTextIndent3"/>
    <w:uiPriority w:val="99"/>
    <w:semiHidden/>
    <w:qFormat/>
    <w:rsid w:val="0093681f"/>
    <w:rPr>
      <w:rFonts w:ascii="Arial" w:hAnsi="Arial"/>
      <w:sz w:val="16"/>
      <w:szCs w:val="16"/>
    </w:rPr>
  </w:style>
  <w:style w:type="character" w:styleId="SalutationChar" w:customStyle="1">
    <w:name w:val="Salutation Char"/>
    <w:basedOn w:val="DefaultParagraphFont"/>
    <w:uiPriority w:val="99"/>
    <w:semiHidden/>
    <w:qFormat/>
    <w:rsid w:val="0093681f"/>
    <w:rPr>
      <w:rFonts w:ascii="Arial" w:hAnsi="Arial"/>
      <w:sz w:val="24"/>
    </w:rPr>
  </w:style>
  <w:style w:type="character" w:styleId="PlainTextChar" w:customStyle="1">
    <w:name w:val="Plain Text Char"/>
    <w:basedOn w:val="DefaultParagraphFont"/>
    <w:link w:val="PlainText"/>
    <w:uiPriority w:val="99"/>
    <w:semiHidden/>
    <w:qFormat/>
    <w:rsid w:val="0093681f"/>
    <w:rPr>
      <w:rFonts w:ascii="Consolas" w:hAnsi="Consolas"/>
      <w:sz w:val="21"/>
      <w:szCs w:val="21"/>
    </w:rPr>
  </w:style>
  <w:style w:type="character" w:styleId="EmailSignatureChar" w:customStyle="1">
    <w:name w:val="E-mail Signature Char"/>
    <w:basedOn w:val="DefaultParagraphFont"/>
    <w:link w:val="EmailSignature"/>
    <w:uiPriority w:val="99"/>
    <w:semiHidden/>
    <w:qFormat/>
    <w:rsid w:val="0093681f"/>
    <w:rPr>
      <w:rFonts w:ascii="Arial" w:hAnsi="Arial"/>
      <w:sz w:val="24"/>
    </w:rPr>
  </w:style>
  <w:style w:type="character" w:styleId="MessageHeaderChar" w:customStyle="1">
    <w:name w:val="Message Header Char"/>
    <w:basedOn w:val="DefaultParagraphFont"/>
    <w:link w:val="MessageHeader"/>
    <w:uiPriority w:val="99"/>
    <w:semiHidden/>
    <w:qFormat/>
    <w:rsid w:val="0093681f"/>
    <w:rPr>
      <w:rFonts w:ascii="Calibri Light" w:hAnsi="Calibri Light" w:eastAsia="" w:cs="" w:asciiTheme="majorHAnsi" w:cstheme="majorBidi" w:eastAsiaTheme="majorEastAsia" w:hAnsiTheme="majorHAnsi"/>
      <w:sz w:val="24"/>
      <w:szCs w:val="24"/>
      <w:shd w:fill="CCCCCC" w:val="clear"/>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link w:val="BodyTextChar"/>
    <w:uiPriority w:val="99"/>
    <w:semiHidden/>
    <w:unhideWhenUsed/>
    <w:rsid w:val="0093681f"/>
    <w:pPr>
      <w:spacing w:before="0" w:after="120"/>
    </w:pPr>
    <w:rPr/>
  </w:style>
  <w:style w:type="paragraph" w:styleId="Luettelo">
    <w:name w:val="List"/>
    <w:basedOn w:val="Normal"/>
    <w:uiPriority w:val="99"/>
    <w:semiHidden/>
    <w:unhideWhenUsed/>
    <w:rsid w:val="0093681f"/>
    <w:pPr>
      <w:spacing w:before="0" w:after="0"/>
      <w:ind w:left="283" w:hanging="283"/>
      <w:contextualSpacing/>
    </w:pPr>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lang w:val="zxx" w:eastAsia="zxx" w:bidi="zxx"/>
    </w:rPr>
  </w:style>
  <w:style w:type="paragraph" w:styleId="ListParagraph">
    <w:name w:val="List Paragraph"/>
    <w:basedOn w:val="Normal"/>
    <w:uiPriority w:val="99"/>
    <w:qFormat/>
    <w:rsid w:val="00335c28"/>
    <w:pPr>
      <w:spacing w:before="0" w:after="240"/>
      <w:ind w:left="720" w:hanging="0"/>
      <w:contextualSpacing/>
    </w:pPr>
    <w:rPr>
      <w:sz w:val="20"/>
    </w:rPr>
  </w:style>
  <w:style w:type="paragraph" w:styleId="Yljaalatunniste">
    <w:name w:val="Ylä- ja alatunniste"/>
    <w:basedOn w:val="Normal"/>
    <w:qFormat/>
    <w:pPr/>
    <w:rPr/>
  </w:style>
  <w:style w:type="paragraph" w:styleId="Yltunniste">
    <w:name w:val="Header"/>
    <w:basedOn w:val="Normal"/>
    <w:link w:val="HeaderChar"/>
    <w:uiPriority w:val="99"/>
    <w:unhideWhenUsed/>
    <w:rsid w:val="003d20da"/>
    <w:pPr>
      <w:tabs>
        <w:tab w:val="clear" w:pos="1304"/>
        <w:tab w:val="center" w:pos="4819" w:leader="none"/>
        <w:tab w:val="right" w:pos="9638" w:leader="none"/>
      </w:tabs>
    </w:pPr>
    <w:rPr/>
  </w:style>
  <w:style w:type="paragraph" w:styleId="Alatunniste">
    <w:name w:val="Footer"/>
    <w:basedOn w:val="Normal"/>
    <w:link w:val="FooterChar"/>
    <w:uiPriority w:val="99"/>
    <w:unhideWhenUsed/>
    <w:rsid w:val="003d20da"/>
    <w:pPr>
      <w:tabs>
        <w:tab w:val="clear" w:pos="1304"/>
        <w:tab w:val="center" w:pos="4819" w:leader="none"/>
        <w:tab w:val="right" w:pos="9638" w:leader="none"/>
      </w:tabs>
    </w:pPr>
    <w:rPr/>
  </w:style>
  <w:style w:type="paragraph" w:styleId="Annotationtext">
    <w:name w:val="annotation text"/>
    <w:basedOn w:val="Normal"/>
    <w:link w:val="CommentTextChar"/>
    <w:uiPriority w:val="99"/>
    <w:semiHidden/>
    <w:unhideWhenUsed/>
    <w:qFormat/>
    <w:rsid w:val="00a22e18"/>
    <w:pPr/>
    <w:rPr>
      <w:sz w:val="20"/>
      <w:szCs w:val="20"/>
    </w:rPr>
  </w:style>
  <w:style w:type="paragraph" w:styleId="Annotationsubject">
    <w:name w:val="annotation subject"/>
    <w:basedOn w:val="Annotationtext"/>
    <w:next w:val="Annotationtext"/>
    <w:link w:val="CommentSubjectChar"/>
    <w:uiPriority w:val="99"/>
    <w:semiHidden/>
    <w:unhideWhenUsed/>
    <w:qFormat/>
    <w:rsid w:val="00a22e18"/>
    <w:pPr/>
    <w:rPr>
      <w:b/>
      <w:bCs/>
    </w:rPr>
  </w:style>
  <w:style w:type="paragraph" w:styleId="BalloonText">
    <w:name w:val="Balloon Text"/>
    <w:basedOn w:val="Normal"/>
    <w:link w:val="BalloonTextChar"/>
    <w:uiPriority w:val="99"/>
    <w:semiHidden/>
    <w:unhideWhenUsed/>
    <w:qFormat/>
    <w:rsid w:val="00a22e18"/>
    <w:pPr/>
    <w:rPr>
      <w:rFonts w:ascii="Segoe UI" w:hAnsi="Segoe UI" w:cs="Segoe UI"/>
      <w:sz w:val="18"/>
      <w:szCs w:val="18"/>
    </w:rPr>
  </w:style>
  <w:style w:type="paragraph" w:styleId="NormalWeb">
    <w:name w:val="Normal (Web)"/>
    <w:basedOn w:val="Normal"/>
    <w:uiPriority w:val="99"/>
    <w:semiHidden/>
    <w:unhideWhenUsed/>
    <w:qFormat/>
    <w:rsid w:val="00b51950"/>
    <w:pPr>
      <w:spacing w:beforeAutospacing="1" w:afterAutospacing="1"/>
    </w:pPr>
    <w:rPr>
      <w:rFonts w:ascii="Times New Roman" w:hAnsi="Times New Roman" w:eastAsia="Times New Roman" w:cs="Times New Roman"/>
      <w:szCs w:val="24"/>
      <w:lang w:eastAsia="fi-FI"/>
    </w:rPr>
  </w:style>
  <w:style w:type="paragraph" w:styleId="NoSpacing">
    <w:name w:val="No Spacing"/>
    <w:uiPriority w:val="1"/>
    <w:qFormat/>
    <w:rsid w:val="00ba4501"/>
    <w:pPr>
      <w:widowControl/>
      <w:bidi w:val="0"/>
      <w:spacing w:lineRule="auto" w:line="240" w:before="0" w:after="0"/>
      <w:jc w:val="left"/>
    </w:pPr>
    <w:rPr>
      <w:rFonts w:ascii="Arial" w:hAnsi="Arial" w:eastAsia="Calibri" w:cs="" w:cstheme="minorBidi" w:eastAsiaTheme="minorHAnsi"/>
      <w:color w:val="auto"/>
      <w:kern w:val="0"/>
      <w:sz w:val="24"/>
      <w:szCs w:val="22"/>
      <w:lang w:val="fi-FI" w:eastAsia="en-US" w:bidi="ar-SA"/>
    </w:rPr>
  </w:style>
  <w:style w:type="paragraph" w:styleId="Alaotsikko">
    <w:name w:val="Subtitle"/>
    <w:basedOn w:val="Normal"/>
    <w:next w:val="Normal"/>
    <w:link w:val="SubtitleChar"/>
    <w:uiPriority w:val="11"/>
    <w:qFormat/>
    <w:rsid w:val="00fb3291"/>
    <w:pPr/>
    <w:rPr>
      <w:rFonts w:eastAsia="" w:cs="Calibri" w:cstheme="minorHAnsi" w:eastAsiaTheme="minorEastAsia"/>
      <w:b/>
      <w:sz w:val="22"/>
    </w:rPr>
  </w:style>
  <w:style w:type="paragraph" w:styleId="Alaviite">
    <w:name w:val="Footnote Text"/>
    <w:basedOn w:val="Normal"/>
    <w:link w:val="FootnoteTextChar"/>
    <w:uiPriority w:val="99"/>
    <w:semiHidden/>
    <w:unhideWhenUsed/>
    <w:rsid w:val="0093681f"/>
    <w:pPr/>
    <w:rPr>
      <w:sz w:val="20"/>
      <w:szCs w:val="20"/>
    </w:rPr>
  </w:style>
  <w:style w:type="paragraph" w:styleId="Allekirjoitus">
    <w:name w:val="Signature"/>
    <w:basedOn w:val="Normal"/>
    <w:link w:val="SignatureChar"/>
    <w:uiPriority w:val="99"/>
    <w:semiHidden/>
    <w:unhideWhenUsed/>
    <w:rsid w:val="0093681f"/>
    <w:pPr>
      <w:ind w:left="4252" w:hanging="0"/>
    </w:pPr>
    <w:rPr/>
  </w:style>
  <w:style w:type="paragraph" w:styleId="DocumentMap">
    <w:name w:val="Document Map"/>
    <w:basedOn w:val="Normal"/>
    <w:link w:val="DocumentMapChar"/>
    <w:uiPriority w:val="99"/>
    <w:semiHidden/>
    <w:unhideWhenUsed/>
    <w:qFormat/>
    <w:rsid w:val="0093681f"/>
    <w:pPr/>
    <w:rPr>
      <w:rFonts w:ascii="Segoe UI" w:hAnsi="Segoe UI" w:cs="Segoe UI"/>
      <w:sz w:val="16"/>
      <w:szCs w:val="16"/>
    </w:rPr>
  </w:style>
  <w:style w:type="paragraph" w:styleId="IntenseQuote">
    <w:name w:val="Intense Quote"/>
    <w:basedOn w:val="Normal"/>
    <w:next w:val="Normal"/>
    <w:link w:val="IntenseQuoteChar"/>
    <w:uiPriority w:val="30"/>
    <w:qFormat/>
    <w:rsid w:val="0093681f"/>
    <w:pPr>
      <w:pBdr>
        <w:top w:val="single" w:sz="4" w:space="10" w:color="5B9BD5"/>
        <w:bottom w:val="single" w:sz="4" w:space="10" w:color="5B9BD5"/>
      </w:pBdr>
      <w:spacing w:before="360" w:after="360"/>
      <w:ind w:left="864" w:right="864" w:hanging="0"/>
      <w:jc w:val="center"/>
    </w:pPr>
    <w:rPr>
      <w:i/>
      <w:iCs/>
      <w:color w:val="5B9BD5" w:themeColor="accent1"/>
    </w:rPr>
  </w:style>
  <w:style w:type="paragraph" w:styleId="Index1">
    <w:name w:val="index 1"/>
    <w:basedOn w:val="Normal"/>
    <w:next w:val="Normal"/>
    <w:autoRedefine/>
    <w:uiPriority w:val="99"/>
    <w:semiHidden/>
    <w:unhideWhenUsed/>
    <w:qFormat/>
    <w:rsid w:val="0093681f"/>
    <w:pPr>
      <w:ind w:left="240" w:hanging="240"/>
    </w:pPr>
    <w:rPr/>
  </w:style>
  <w:style w:type="paragraph" w:styleId="Index2">
    <w:name w:val="index 2"/>
    <w:basedOn w:val="Normal"/>
    <w:next w:val="Normal"/>
    <w:autoRedefine/>
    <w:uiPriority w:val="99"/>
    <w:semiHidden/>
    <w:unhideWhenUsed/>
    <w:qFormat/>
    <w:rsid w:val="0093681f"/>
    <w:pPr>
      <w:ind w:left="480" w:hanging="240"/>
    </w:pPr>
    <w:rPr/>
  </w:style>
  <w:style w:type="paragraph" w:styleId="Index3">
    <w:name w:val="index 3"/>
    <w:basedOn w:val="Normal"/>
    <w:next w:val="Normal"/>
    <w:autoRedefine/>
    <w:uiPriority w:val="99"/>
    <w:semiHidden/>
    <w:unhideWhenUsed/>
    <w:qFormat/>
    <w:rsid w:val="0093681f"/>
    <w:pPr>
      <w:ind w:left="720" w:hanging="240"/>
    </w:pPr>
    <w:rPr/>
  </w:style>
  <w:style w:type="paragraph" w:styleId="Index4">
    <w:name w:val="index 4"/>
    <w:basedOn w:val="Normal"/>
    <w:next w:val="Normal"/>
    <w:autoRedefine/>
    <w:uiPriority w:val="99"/>
    <w:semiHidden/>
    <w:unhideWhenUsed/>
    <w:qFormat/>
    <w:rsid w:val="0093681f"/>
    <w:pPr>
      <w:ind w:left="960" w:hanging="240"/>
    </w:pPr>
    <w:rPr/>
  </w:style>
  <w:style w:type="paragraph" w:styleId="Index5">
    <w:name w:val="index 5"/>
    <w:basedOn w:val="Normal"/>
    <w:next w:val="Normal"/>
    <w:autoRedefine/>
    <w:uiPriority w:val="99"/>
    <w:semiHidden/>
    <w:unhideWhenUsed/>
    <w:qFormat/>
    <w:rsid w:val="0093681f"/>
    <w:pPr>
      <w:ind w:left="1200" w:hanging="240"/>
    </w:pPr>
    <w:rPr/>
  </w:style>
  <w:style w:type="paragraph" w:styleId="Index6">
    <w:name w:val="index 6"/>
    <w:basedOn w:val="Normal"/>
    <w:next w:val="Normal"/>
    <w:autoRedefine/>
    <w:uiPriority w:val="99"/>
    <w:semiHidden/>
    <w:unhideWhenUsed/>
    <w:qFormat/>
    <w:rsid w:val="0093681f"/>
    <w:pPr>
      <w:ind w:left="1440" w:hanging="240"/>
    </w:pPr>
    <w:rPr/>
  </w:style>
  <w:style w:type="paragraph" w:styleId="Index7">
    <w:name w:val="index 7"/>
    <w:basedOn w:val="Normal"/>
    <w:next w:val="Normal"/>
    <w:autoRedefine/>
    <w:uiPriority w:val="99"/>
    <w:semiHidden/>
    <w:unhideWhenUsed/>
    <w:qFormat/>
    <w:rsid w:val="0093681f"/>
    <w:pPr>
      <w:ind w:left="1680" w:hanging="240"/>
    </w:pPr>
    <w:rPr/>
  </w:style>
  <w:style w:type="paragraph" w:styleId="Index8">
    <w:name w:val="index 8"/>
    <w:basedOn w:val="Normal"/>
    <w:next w:val="Normal"/>
    <w:autoRedefine/>
    <w:uiPriority w:val="99"/>
    <w:semiHidden/>
    <w:unhideWhenUsed/>
    <w:qFormat/>
    <w:rsid w:val="0093681f"/>
    <w:pPr>
      <w:ind w:left="1920" w:hanging="240"/>
    </w:pPr>
    <w:rPr/>
  </w:style>
  <w:style w:type="paragraph" w:styleId="Index9">
    <w:name w:val="index 9"/>
    <w:basedOn w:val="Normal"/>
    <w:next w:val="Normal"/>
    <w:autoRedefine/>
    <w:uiPriority w:val="99"/>
    <w:semiHidden/>
    <w:unhideWhenUsed/>
    <w:qFormat/>
    <w:rsid w:val="0093681f"/>
    <w:pPr>
      <w:ind w:left="2160" w:hanging="240"/>
    </w:pPr>
    <w:rPr/>
  </w:style>
  <w:style w:type="paragraph" w:styleId="Indexheading">
    <w:name w:val="index heading"/>
    <w:basedOn w:val="Normal"/>
    <w:next w:val="Index1"/>
    <w:uiPriority w:val="99"/>
    <w:semiHidden/>
    <w:unhideWhenUsed/>
    <w:qFormat/>
    <w:rsid w:val="0093681f"/>
    <w:pPr/>
    <w:rPr>
      <w:rFonts w:ascii="Calibri Light" w:hAnsi="Calibri Light" w:eastAsia="" w:cs="" w:asciiTheme="majorHAnsi" w:cstheme="majorBidi" w:eastAsiaTheme="majorEastAsia" w:hAnsiTheme="majorHAnsi"/>
      <w:b/>
      <w:bCs/>
    </w:rPr>
  </w:style>
  <w:style w:type="paragraph" w:styleId="HTMLPreformatted">
    <w:name w:val="HTML Preformatted"/>
    <w:basedOn w:val="Normal"/>
    <w:link w:val="HTMLPreformattedChar"/>
    <w:uiPriority w:val="99"/>
    <w:semiHidden/>
    <w:unhideWhenUsed/>
    <w:qFormat/>
    <w:rsid w:val="0093681f"/>
    <w:pPr/>
    <w:rPr>
      <w:rFonts w:ascii="Consolas" w:hAnsi="Consolas"/>
      <w:sz w:val="20"/>
      <w:szCs w:val="20"/>
    </w:rPr>
  </w:style>
  <w:style w:type="paragraph" w:styleId="HTMLAddress">
    <w:name w:val="HTML Address"/>
    <w:basedOn w:val="Normal"/>
    <w:link w:val="HTMLAddressChar"/>
    <w:uiPriority w:val="99"/>
    <w:semiHidden/>
    <w:unhideWhenUsed/>
    <w:qFormat/>
    <w:rsid w:val="0093681f"/>
    <w:pPr/>
    <w:rPr>
      <w:i/>
      <w:iCs/>
    </w:rPr>
  </w:style>
  <w:style w:type="paragraph" w:styleId="NoteHeading">
    <w:name w:val="Note Heading"/>
    <w:basedOn w:val="Normal"/>
    <w:next w:val="Normal"/>
    <w:link w:val="NoteHeadingChar"/>
    <w:uiPriority w:val="99"/>
    <w:semiHidden/>
    <w:unhideWhenUsed/>
    <w:qFormat/>
    <w:rsid w:val="0093681f"/>
    <w:pPr/>
    <w:rPr/>
  </w:style>
  <w:style w:type="paragraph" w:styleId="ListContinue">
    <w:name w:val="List Continue"/>
    <w:basedOn w:val="Normal"/>
    <w:uiPriority w:val="99"/>
    <w:semiHidden/>
    <w:unhideWhenUsed/>
    <w:qFormat/>
    <w:rsid w:val="0093681f"/>
    <w:pPr>
      <w:spacing w:before="0" w:after="120"/>
      <w:ind w:left="283" w:hanging="0"/>
      <w:contextualSpacing/>
    </w:pPr>
    <w:rPr/>
  </w:style>
  <w:style w:type="paragraph" w:styleId="ListContinue2">
    <w:name w:val="List Continue 2"/>
    <w:basedOn w:val="Normal"/>
    <w:uiPriority w:val="99"/>
    <w:semiHidden/>
    <w:unhideWhenUsed/>
    <w:qFormat/>
    <w:rsid w:val="0093681f"/>
    <w:pPr>
      <w:spacing w:before="0" w:after="120"/>
      <w:ind w:left="566" w:hanging="0"/>
      <w:contextualSpacing/>
    </w:pPr>
    <w:rPr/>
  </w:style>
  <w:style w:type="paragraph" w:styleId="ListContinue3">
    <w:name w:val="List Continue 3"/>
    <w:basedOn w:val="Normal"/>
    <w:uiPriority w:val="99"/>
    <w:semiHidden/>
    <w:unhideWhenUsed/>
    <w:qFormat/>
    <w:rsid w:val="0093681f"/>
    <w:pPr>
      <w:spacing w:before="0" w:after="120"/>
      <w:ind w:left="849" w:hanging="0"/>
      <w:contextualSpacing/>
    </w:pPr>
    <w:rPr/>
  </w:style>
  <w:style w:type="paragraph" w:styleId="ListContinue4">
    <w:name w:val="List Continue 4"/>
    <w:basedOn w:val="Normal"/>
    <w:uiPriority w:val="99"/>
    <w:semiHidden/>
    <w:unhideWhenUsed/>
    <w:qFormat/>
    <w:rsid w:val="0093681f"/>
    <w:pPr>
      <w:spacing w:before="0" w:after="120"/>
      <w:ind w:left="1132" w:hanging="0"/>
      <w:contextualSpacing/>
    </w:pPr>
    <w:rPr/>
  </w:style>
  <w:style w:type="paragraph" w:styleId="ListContinue5">
    <w:name w:val="List Continue 5"/>
    <w:basedOn w:val="Normal"/>
    <w:uiPriority w:val="99"/>
    <w:semiHidden/>
    <w:unhideWhenUsed/>
    <w:qFormat/>
    <w:rsid w:val="0093681f"/>
    <w:pPr>
      <w:spacing w:before="0" w:after="120"/>
      <w:ind w:left="1415" w:hanging="0"/>
      <w:contextualSpacing/>
    </w:pPr>
    <w:rPr/>
  </w:style>
  <w:style w:type="paragraph" w:styleId="Envelopeaddress">
    <w:name w:val="envelope address"/>
    <w:basedOn w:val="Normal"/>
    <w:uiPriority w:val="99"/>
    <w:semiHidden/>
    <w:unhideWhenUsed/>
    <w:qFormat/>
    <w:rsid w:val="0093681f"/>
    <w:pPr>
      <w:ind w:left="2880" w:hanging="0"/>
    </w:pPr>
    <w:rPr>
      <w:rFonts w:ascii="Calibri Light" w:hAnsi="Calibri Light" w:eastAsia="" w:cs="" w:asciiTheme="majorHAnsi" w:cstheme="majorBidi" w:eastAsiaTheme="majorEastAsia" w:hAnsiTheme="majorHAnsi"/>
      <w:szCs w:val="24"/>
    </w:rPr>
  </w:style>
  <w:style w:type="paragraph" w:styleId="Envelopereturn">
    <w:name w:val="envelope return"/>
    <w:basedOn w:val="Normal"/>
    <w:uiPriority w:val="99"/>
    <w:semiHidden/>
    <w:unhideWhenUsed/>
    <w:qFormat/>
    <w:rsid w:val="0093681f"/>
    <w:pPr/>
    <w:rPr>
      <w:rFonts w:ascii="Calibri Light" w:hAnsi="Calibri Light" w:eastAsia="" w:cs="" w:asciiTheme="majorHAnsi" w:cstheme="majorBidi" w:eastAsiaTheme="majorEastAsia" w:hAnsiTheme="majorHAnsi"/>
      <w:sz w:val="20"/>
      <w:szCs w:val="20"/>
    </w:rPr>
  </w:style>
  <w:style w:type="paragraph" w:styleId="Caption">
    <w:name w:val="caption"/>
    <w:basedOn w:val="Normal"/>
    <w:next w:val="Normal"/>
    <w:uiPriority w:val="35"/>
    <w:semiHidden/>
    <w:unhideWhenUsed/>
    <w:qFormat/>
    <w:rsid w:val="0093681f"/>
    <w:pPr>
      <w:spacing w:before="0" w:after="200"/>
    </w:pPr>
    <w:rPr>
      <w:i/>
      <w:iCs/>
      <w:color w:val="44546A" w:themeColor="text2"/>
      <w:sz w:val="18"/>
      <w:szCs w:val="18"/>
    </w:rPr>
  </w:style>
  <w:style w:type="paragraph" w:styleId="Tableoffigures">
    <w:name w:val="table of figures"/>
    <w:basedOn w:val="Normal"/>
    <w:next w:val="Normal"/>
    <w:uiPriority w:val="99"/>
    <w:semiHidden/>
    <w:unhideWhenUsed/>
    <w:qFormat/>
    <w:rsid w:val="0093681f"/>
    <w:pPr/>
    <w:rPr/>
  </w:style>
  <w:style w:type="paragraph" w:styleId="Quote">
    <w:name w:val="Quote"/>
    <w:basedOn w:val="Normal"/>
    <w:next w:val="Normal"/>
    <w:link w:val="QuoteChar"/>
    <w:uiPriority w:val="29"/>
    <w:qFormat/>
    <w:rsid w:val="0093681f"/>
    <w:pPr>
      <w:spacing w:before="200" w:after="160"/>
      <w:ind w:left="864" w:right="864" w:hanging="0"/>
      <w:jc w:val="center"/>
    </w:pPr>
    <w:rPr>
      <w:i/>
      <w:iCs/>
      <w:color w:val="404040" w:themeColor="text1" w:themeTint="bf"/>
    </w:rPr>
  </w:style>
  <w:style w:type="paragraph" w:styleId="BodyText2">
    <w:name w:val="Body Text 2"/>
    <w:basedOn w:val="Normal"/>
    <w:link w:val="BodyText2Char"/>
    <w:uiPriority w:val="99"/>
    <w:semiHidden/>
    <w:unhideWhenUsed/>
    <w:qFormat/>
    <w:rsid w:val="0093681f"/>
    <w:pPr>
      <w:spacing w:lineRule="auto" w:line="480" w:before="0" w:after="120"/>
    </w:pPr>
    <w:rPr/>
  </w:style>
  <w:style w:type="paragraph" w:styleId="BodyText3">
    <w:name w:val="Body Text 3"/>
    <w:basedOn w:val="Normal"/>
    <w:link w:val="BodyText3Char"/>
    <w:uiPriority w:val="99"/>
    <w:semiHidden/>
    <w:unhideWhenUsed/>
    <w:qFormat/>
    <w:rsid w:val="0093681f"/>
    <w:pPr>
      <w:spacing w:before="0" w:after="120"/>
    </w:pPr>
    <w:rPr>
      <w:sz w:val="16"/>
      <w:szCs w:val="16"/>
    </w:rPr>
  </w:style>
  <w:style w:type="paragraph" w:styleId="BodyTextIndent">
    <w:name w:val="Body Text Indent"/>
    <w:basedOn w:val="Leipteksti"/>
    <w:link w:val="BodyTextFirstIndentChar"/>
    <w:uiPriority w:val="99"/>
    <w:semiHidden/>
    <w:unhideWhenUsed/>
    <w:qFormat/>
    <w:rsid w:val="0093681f"/>
    <w:pPr>
      <w:spacing w:before="0" w:after="0"/>
      <w:ind w:firstLine="360"/>
    </w:pPr>
    <w:rPr/>
  </w:style>
  <w:style w:type="paragraph" w:styleId="Leiptekstinsisennys">
    <w:name w:val="Body Text Indent"/>
    <w:basedOn w:val="Normal"/>
    <w:link w:val="BodyTextIndentChar"/>
    <w:uiPriority w:val="99"/>
    <w:semiHidden/>
    <w:unhideWhenUsed/>
    <w:rsid w:val="0093681f"/>
    <w:pPr>
      <w:spacing w:before="0" w:after="120"/>
      <w:ind w:left="283" w:hanging="0"/>
    </w:pPr>
    <w:rPr/>
  </w:style>
  <w:style w:type="paragraph" w:styleId="BodyTextFirstIndent2">
    <w:name w:val="Body Text First Indent 2"/>
    <w:basedOn w:val="Leiptekstinsisennys"/>
    <w:link w:val="BodyTextFirstIndent2Char"/>
    <w:uiPriority w:val="99"/>
    <w:semiHidden/>
    <w:unhideWhenUsed/>
    <w:qFormat/>
    <w:rsid w:val="0093681f"/>
    <w:pPr>
      <w:spacing w:before="0" w:after="0"/>
      <w:ind w:left="360" w:firstLine="360"/>
    </w:pPr>
    <w:rPr/>
  </w:style>
  <w:style w:type="paragraph" w:styleId="BlockText">
    <w:name w:val="Block Text"/>
    <w:basedOn w:val="Normal"/>
    <w:uiPriority w:val="99"/>
    <w:semiHidden/>
    <w:unhideWhenUsed/>
    <w:qFormat/>
    <w:rsid w:val="0093681f"/>
    <w:pPr>
      <w:pBdr>
        <w:top w:val="single" w:sz="2" w:space="10" w:color="5B9BD5" w:shadow="1"/>
        <w:left w:val="single" w:sz="2" w:space="10" w:color="5B9BD5" w:shadow="1"/>
        <w:bottom w:val="single" w:sz="2" w:space="10" w:color="5B9BD5" w:shadow="1"/>
        <w:right w:val="single" w:sz="2" w:space="10" w:color="5B9BD5" w:shadow="1"/>
      </w:pBdr>
      <w:ind w:left="1152" w:right="1152" w:hanging="0"/>
    </w:pPr>
    <w:rPr>
      <w:rFonts w:ascii="Calibri" w:hAnsi="Calibri" w:eastAsia="" w:asciiTheme="minorHAnsi" w:eastAsiaTheme="minorEastAsia" w:hAnsiTheme="minorHAnsi"/>
      <w:i/>
      <w:iCs/>
      <w:color w:val="5B9BD5" w:themeColor="accent1"/>
    </w:rPr>
  </w:style>
  <w:style w:type="paragraph" w:styleId="Closing">
    <w:name w:val="Closing"/>
    <w:basedOn w:val="Normal"/>
    <w:link w:val="ClosingChar"/>
    <w:uiPriority w:val="99"/>
    <w:semiHidden/>
    <w:unhideWhenUsed/>
    <w:qFormat/>
    <w:rsid w:val="0093681f"/>
    <w:pPr>
      <w:ind w:left="4252" w:hanging="0"/>
    </w:pPr>
    <w:rPr/>
  </w:style>
  <w:style w:type="paragraph" w:styleId="Loppuviite">
    <w:name w:val="Endnote Text"/>
    <w:basedOn w:val="Normal"/>
    <w:link w:val="EndnoteTextChar"/>
    <w:uiPriority w:val="99"/>
    <w:semiHidden/>
    <w:unhideWhenUsed/>
    <w:rsid w:val="0093681f"/>
    <w:pPr/>
    <w:rPr>
      <w:sz w:val="20"/>
      <w:szCs w:val="20"/>
    </w:rPr>
  </w:style>
  <w:style w:type="paragraph" w:styleId="Luettelo2">
    <w:name w:val="List Bullet 3"/>
    <w:basedOn w:val="Normal"/>
    <w:uiPriority w:val="99"/>
    <w:semiHidden/>
    <w:unhideWhenUsed/>
    <w:rsid w:val="0093681f"/>
    <w:pPr>
      <w:spacing w:before="0" w:after="0"/>
      <w:ind w:left="566" w:hanging="283"/>
      <w:contextualSpacing/>
    </w:pPr>
    <w:rPr/>
  </w:style>
  <w:style w:type="paragraph" w:styleId="Luettelo3">
    <w:name w:val="List Bullet 4"/>
    <w:basedOn w:val="Normal"/>
    <w:uiPriority w:val="99"/>
    <w:semiHidden/>
    <w:unhideWhenUsed/>
    <w:rsid w:val="0093681f"/>
    <w:pPr>
      <w:spacing w:before="0" w:after="0"/>
      <w:ind w:left="849" w:hanging="283"/>
      <w:contextualSpacing/>
    </w:pPr>
    <w:rPr/>
  </w:style>
  <w:style w:type="paragraph" w:styleId="Luettelo4">
    <w:name w:val="List Bullet 5"/>
    <w:basedOn w:val="Normal"/>
    <w:uiPriority w:val="99"/>
    <w:semiHidden/>
    <w:unhideWhenUsed/>
    <w:rsid w:val="0093681f"/>
    <w:pPr>
      <w:spacing w:before="0" w:after="0"/>
      <w:ind w:left="1132" w:hanging="283"/>
      <w:contextualSpacing/>
    </w:pPr>
    <w:rPr/>
  </w:style>
  <w:style w:type="paragraph" w:styleId="Luettelo5">
    <w:name w:val="List Number"/>
    <w:basedOn w:val="Normal"/>
    <w:uiPriority w:val="99"/>
    <w:semiHidden/>
    <w:unhideWhenUsed/>
    <w:rsid w:val="0093681f"/>
    <w:pPr>
      <w:spacing w:before="0" w:after="0"/>
      <w:ind w:left="1415" w:hanging="283"/>
      <w:contextualSpacing/>
    </w:pPr>
    <w:rPr/>
  </w:style>
  <w:style w:type="paragraph" w:styleId="Bibliography">
    <w:name w:val="Bibliography"/>
    <w:basedOn w:val="Normal"/>
    <w:next w:val="Normal"/>
    <w:uiPriority w:val="37"/>
    <w:semiHidden/>
    <w:unhideWhenUsed/>
    <w:qFormat/>
    <w:rsid w:val="0093681f"/>
    <w:pPr/>
    <w:rPr/>
  </w:style>
  <w:style w:type="paragraph" w:styleId="Toaheading">
    <w:name w:val="toa heading"/>
    <w:basedOn w:val="Normal"/>
    <w:next w:val="Normal"/>
    <w:uiPriority w:val="99"/>
    <w:semiHidden/>
    <w:unhideWhenUsed/>
    <w:qFormat/>
    <w:rsid w:val="0093681f"/>
    <w:pPr>
      <w:spacing w:before="120" w:after="0"/>
    </w:pPr>
    <w:rPr>
      <w:rFonts w:ascii="Calibri Light" w:hAnsi="Calibri Light" w:eastAsia="" w:cs="" w:asciiTheme="majorHAnsi" w:cstheme="majorBidi" w:eastAsiaTheme="majorEastAsia" w:hAnsiTheme="majorHAnsi"/>
      <w:b/>
      <w:bCs/>
      <w:szCs w:val="24"/>
    </w:rPr>
  </w:style>
  <w:style w:type="paragraph" w:styleId="Tableofauthorities">
    <w:name w:val="table of authorities"/>
    <w:basedOn w:val="Normal"/>
    <w:next w:val="Normal"/>
    <w:uiPriority w:val="99"/>
    <w:semiHidden/>
    <w:unhideWhenUsed/>
    <w:qFormat/>
    <w:rsid w:val="0093681f"/>
    <w:pPr>
      <w:ind w:left="240" w:hanging="240"/>
    </w:pPr>
    <w:rPr/>
  </w:style>
  <w:style w:type="paragraph" w:styleId="Macro">
    <w:name w:val="macro"/>
    <w:link w:val="MacroTextChar"/>
    <w:uiPriority w:val="99"/>
    <w:semiHidden/>
    <w:unhideWhenUsed/>
    <w:qFormat/>
    <w:rsid w:val="0093681f"/>
    <w:pPr>
      <w:widowControl/>
      <w:tabs>
        <w:tab w:val="clear" w:pos="130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nsolas" w:hAnsi="Consolas" w:eastAsia="Calibri" w:cs="" w:cstheme="minorBidi" w:eastAsiaTheme="minorHAnsi"/>
      <w:color w:val="auto"/>
      <w:kern w:val="0"/>
      <w:sz w:val="20"/>
      <w:szCs w:val="20"/>
      <w:lang w:val="fi-FI" w:eastAsia="en-US" w:bidi="ar-SA"/>
    </w:rPr>
  </w:style>
  <w:style w:type="paragraph" w:styleId="ListBullet">
    <w:name w:val="List Bullet"/>
    <w:basedOn w:val="Normal"/>
    <w:uiPriority w:val="99"/>
    <w:semiHidden/>
    <w:unhideWhenUsed/>
    <w:qFormat/>
    <w:rsid w:val="0093681f"/>
    <w:pPr>
      <w:numPr>
        <w:ilvl w:val="0"/>
        <w:numId w:val="18"/>
      </w:numPr>
      <w:spacing w:before="0" w:after="0"/>
      <w:contextualSpacing/>
    </w:pPr>
    <w:rPr/>
  </w:style>
  <w:style w:type="paragraph" w:styleId="ListBullet2">
    <w:name w:val="List Bullet 2"/>
    <w:basedOn w:val="Normal"/>
    <w:uiPriority w:val="99"/>
    <w:semiHidden/>
    <w:unhideWhenUsed/>
    <w:qFormat/>
    <w:rsid w:val="0093681f"/>
    <w:pPr>
      <w:numPr>
        <w:ilvl w:val="0"/>
        <w:numId w:val="19"/>
      </w:numPr>
      <w:spacing w:before="0" w:after="0"/>
      <w:contextualSpacing/>
    </w:pPr>
    <w:rPr/>
  </w:style>
  <w:style w:type="paragraph" w:styleId="ListBullet3">
    <w:name w:val="List Bullet 3"/>
    <w:basedOn w:val="Normal"/>
    <w:uiPriority w:val="99"/>
    <w:semiHidden/>
    <w:unhideWhenUsed/>
    <w:qFormat/>
    <w:rsid w:val="0093681f"/>
    <w:pPr>
      <w:numPr>
        <w:ilvl w:val="0"/>
        <w:numId w:val="20"/>
      </w:numPr>
      <w:spacing w:before="0" w:after="0"/>
      <w:contextualSpacing/>
    </w:pPr>
    <w:rPr/>
  </w:style>
  <w:style w:type="paragraph" w:styleId="ListBullet4">
    <w:name w:val="List Bullet 4"/>
    <w:basedOn w:val="Normal"/>
    <w:uiPriority w:val="99"/>
    <w:semiHidden/>
    <w:unhideWhenUsed/>
    <w:qFormat/>
    <w:rsid w:val="0093681f"/>
    <w:pPr>
      <w:numPr>
        <w:ilvl w:val="0"/>
        <w:numId w:val="21"/>
      </w:numPr>
      <w:spacing w:before="0" w:after="0"/>
      <w:contextualSpacing/>
    </w:pPr>
    <w:rPr/>
  </w:style>
  <w:style w:type="paragraph" w:styleId="ListBullet5">
    <w:name w:val="List Bullet 5"/>
    <w:basedOn w:val="Normal"/>
    <w:uiPriority w:val="99"/>
    <w:semiHidden/>
    <w:unhideWhenUsed/>
    <w:qFormat/>
    <w:rsid w:val="0093681f"/>
    <w:pPr>
      <w:numPr>
        <w:ilvl w:val="0"/>
        <w:numId w:val="22"/>
      </w:numPr>
      <w:spacing w:before="0" w:after="0"/>
      <w:contextualSpacing/>
    </w:pPr>
    <w:rPr/>
  </w:style>
  <w:style w:type="paragraph" w:styleId="ListNumber">
    <w:name w:val="List Number"/>
    <w:basedOn w:val="Normal"/>
    <w:uiPriority w:val="99"/>
    <w:semiHidden/>
    <w:unhideWhenUsed/>
    <w:qFormat/>
    <w:rsid w:val="0093681f"/>
    <w:pPr>
      <w:numPr>
        <w:ilvl w:val="0"/>
        <w:numId w:val="23"/>
      </w:numPr>
      <w:spacing w:before="0" w:after="0"/>
      <w:contextualSpacing/>
    </w:pPr>
    <w:rPr/>
  </w:style>
  <w:style w:type="paragraph" w:styleId="ListNumber2">
    <w:name w:val="List Number 2"/>
    <w:basedOn w:val="Normal"/>
    <w:uiPriority w:val="99"/>
    <w:semiHidden/>
    <w:unhideWhenUsed/>
    <w:qFormat/>
    <w:rsid w:val="0093681f"/>
    <w:pPr>
      <w:numPr>
        <w:ilvl w:val="0"/>
        <w:numId w:val="24"/>
      </w:numPr>
      <w:spacing w:before="0" w:after="0"/>
      <w:contextualSpacing/>
    </w:pPr>
    <w:rPr/>
  </w:style>
  <w:style w:type="paragraph" w:styleId="ListNumber3">
    <w:name w:val="List Number 3"/>
    <w:basedOn w:val="Normal"/>
    <w:uiPriority w:val="99"/>
    <w:semiHidden/>
    <w:unhideWhenUsed/>
    <w:qFormat/>
    <w:rsid w:val="0093681f"/>
    <w:pPr>
      <w:numPr>
        <w:ilvl w:val="0"/>
        <w:numId w:val="25"/>
      </w:numPr>
      <w:spacing w:before="0" w:after="0"/>
      <w:contextualSpacing/>
    </w:pPr>
    <w:rPr/>
  </w:style>
  <w:style w:type="paragraph" w:styleId="ListNumber4">
    <w:name w:val="List Number 4"/>
    <w:basedOn w:val="Normal"/>
    <w:uiPriority w:val="99"/>
    <w:semiHidden/>
    <w:unhideWhenUsed/>
    <w:qFormat/>
    <w:rsid w:val="0093681f"/>
    <w:pPr>
      <w:numPr>
        <w:ilvl w:val="0"/>
        <w:numId w:val="26"/>
      </w:numPr>
      <w:spacing w:before="0" w:after="0"/>
      <w:contextualSpacing/>
    </w:pPr>
    <w:rPr/>
  </w:style>
  <w:style w:type="paragraph" w:styleId="ListNumber5">
    <w:name w:val="List Number 5"/>
    <w:basedOn w:val="Normal"/>
    <w:uiPriority w:val="99"/>
    <w:semiHidden/>
    <w:unhideWhenUsed/>
    <w:qFormat/>
    <w:rsid w:val="0093681f"/>
    <w:pPr>
      <w:numPr>
        <w:ilvl w:val="0"/>
        <w:numId w:val="27"/>
      </w:numPr>
      <w:spacing w:before="0" w:after="0"/>
      <w:contextualSpacing/>
    </w:pPr>
    <w:rPr/>
  </w:style>
  <w:style w:type="paragraph" w:styleId="Potsikko">
    <w:name w:val="Title"/>
    <w:basedOn w:val="Normal"/>
    <w:next w:val="Normal"/>
    <w:link w:val="TitleChar"/>
    <w:uiPriority w:val="10"/>
    <w:qFormat/>
    <w:rsid w:val="0093681f"/>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Date">
    <w:name w:val="Date"/>
    <w:basedOn w:val="Normal"/>
    <w:next w:val="Normal"/>
    <w:link w:val="DateChar"/>
    <w:uiPriority w:val="99"/>
    <w:semiHidden/>
    <w:unhideWhenUsed/>
    <w:qFormat/>
    <w:rsid w:val="0093681f"/>
    <w:pPr/>
    <w:rPr/>
  </w:style>
  <w:style w:type="paragraph" w:styleId="BodyTextIndent2">
    <w:name w:val="Body Text Indent 2"/>
    <w:basedOn w:val="Normal"/>
    <w:link w:val="BodyTextIndent2Char"/>
    <w:uiPriority w:val="99"/>
    <w:semiHidden/>
    <w:unhideWhenUsed/>
    <w:qFormat/>
    <w:rsid w:val="0093681f"/>
    <w:pPr>
      <w:spacing w:lineRule="auto" w:line="480" w:before="0" w:after="120"/>
      <w:ind w:left="283" w:hanging="0"/>
    </w:pPr>
    <w:rPr/>
  </w:style>
  <w:style w:type="paragraph" w:styleId="BodyTextIndent3">
    <w:name w:val="Body Text Indent 3"/>
    <w:basedOn w:val="Normal"/>
    <w:link w:val="BodyTextIndent3Char"/>
    <w:uiPriority w:val="99"/>
    <w:semiHidden/>
    <w:unhideWhenUsed/>
    <w:qFormat/>
    <w:rsid w:val="0093681f"/>
    <w:pPr>
      <w:spacing w:before="0" w:after="120"/>
      <w:ind w:left="283" w:hanging="0"/>
    </w:pPr>
    <w:rPr>
      <w:sz w:val="16"/>
      <w:szCs w:val="16"/>
    </w:rPr>
  </w:style>
  <w:style w:type="paragraph" w:styleId="Sisllysluettelo1">
    <w:name w:val="TOC 1"/>
    <w:basedOn w:val="Normal"/>
    <w:next w:val="Normal"/>
    <w:autoRedefine/>
    <w:uiPriority w:val="39"/>
    <w:semiHidden/>
    <w:unhideWhenUsed/>
    <w:rsid w:val="0093681f"/>
    <w:pPr>
      <w:spacing w:before="0" w:after="100"/>
    </w:pPr>
    <w:rPr/>
  </w:style>
  <w:style w:type="paragraph" w:styleId="Sisllysluettelo2">
    <w:name w:val="TOC 2"/>
    <w:basedOn w:val="Normal"/>
    <w:next w:val="Normal"/>
    <w:autoRedefine/>
    <w:uiPriority w:val="39"/>
    <w:semiHidden/>
    <w:unhideWhenUsed/>
    <w:rsid w:val="0093681f"/>
    <w:pPr>
      <w:spacing w:before="0" w:after="100"/>
      <w:ind w:left="240" w:hanging="0"/>
    </w:pPr>
    <w:rPr/>
  </w:style>
  <w:style w:type="paragraph" w:styleId="Sisllysluettelo3">
    <w:name w:val="TOC 3"/>
    <w:basedOn w:val="Normal"/>
    <w:next w:val="Normal"/>
    <w:autoRedefine/>
    <w:uiPriority w:val="39"/>
    <w:semiHidden/>
    <w:unhideWhenUsed/>
    <w:rsid w:val="0093681f"/>
    <w:pPr>
      <w:spacing w:before="0" w:after="100"/>
      <w:ind w:left="480" w:hanging="0"/>
    </w:pPr>
    <w:rPr/>
  </w:style>
  <w:style w:type="paragraph" w:styleId="Sisllysluettelo4">
    <w:name w:val="TOC 4"/>
    <w:basedOn w:val="Normal"/>
    <w:next w:val="Normal"/>
    <w:autoRedefine/>
    <w:uiPriority w:val="39"/>
    <w:semiHidden/>
    <w:unhideWhenUsed/>
    <w:rsid w:val="0093681f"/>
    <w:pPr>
      <w:spacing w:before="0" w:after="100"/>
      <w:ind w:left="720" w:hanging="0"/>
    </w:pPr>
    <w:rPr/>
  </w:style>
  <w:style w:type="paragraph" w:styleId="Sisllysluettelo5">
    <w:name w:val="TOC 5"/>
    <w:basedOn w:val="Normal"/>
    <w:next w:val="Normal"/>
    <w:autoRedefine/>
    <w:uiPriority w:val="39"/>
    <w:semiHidden/>
    <w:unhideWhenUsed/>
    <w:rsid w:val="0093681f"/>
    <w:pPr>
      <w:spacing w:before="0" w:after="100"/>
      <w:ind w:left="960" w:hanging="0"/>
    </w:pPr>
    <w:rPr/>
  </w:style>
  <w:style w:type="paragraph" w:styleId="Sisllysluettelo6">
    <w:name w:val="TOC 6"/>
    <w:basedOn w:val="Normal"/>
    <w:next w:val="Normal"/>
    <w:autoRedefine/>
    <w:uiPriority w:val="39"/>
    <w:semiHidden/>
    <w:unhideWhenUsed/>
    <w:rsid w:val="0093681f"/>
    <w:pPr>
      <w:spacing w:before="0" w:after="100"/>
      <w:ind w:left="1200" w:hanging="0"/>
    </w:pPr>
    <w:rPr/>
  </w:style>
  <w:style w:type="paragraph" w:styleId="Sisllysluettelo7">
    <w:name w:val="TOC 7"/>
    <w:basedOn w:val="Normal"/>
    <w:next w:val="Normal"/>
    <w:autoRedefine/>
    <w:uiPriority w:val="39"/>
    <w:semiHidden/>
    <w:unhideWhenUsed/>
    <w:rsid w:val="0093681f"/>
    <w:pPr>
      <w:spacing w:before="0" w:after="100"/>
      <w:ind w:left="1440" w:hanging="0"/>
    </w:pPr>
    <w:rPr/>
  </w:style>
  <w:style w:type="paragraph" w:styleId="Sisllysluettelo8">
    <w:name w:val="TOC 8"/>
    <w:basedOn w:val="Normal"/>
    <w:next w:val="Normal"/>
    <w:autoRedefine/>
    <w:uiPriority w:val="39"/>
    <w:semiHidden/>
    <w:unhideWhenUsed/>
    <w:rsid w:val="0093681f"/>
    <w:pPr>
      <w:spacing w:before="0" w:after="100"/>
      <w:ind w:left="1680" w:hanging="0"/>
    </w:pPr>
    <w:rPr/>
  </w:style>
  <w:style w:type="paragraph" w:styleId="Sisllysluettelo9">
    <w:name w:val="TOC 9"/>
    <w:basedOn w:val="Normal"/>
    <w:next w:val="Normal"/>
    <w:autoRedefine/>
    <w:uiPriority w:val="39"/>
    <w:semiHidden/>
    <w:unhideWhenUsed/>
    <w:rsid w:val="0093681f"/>
    <w:pPr>
      <w:spacing w:before="0" w:after="100"/>
      <w:ind w:left="1920" w:hanging="0"/>
    </w:pPr>
    <w:rPr/>
  </w:style>
  <w:style w:type="paragraph" w:styleId="Hakemistonotsikko">
    <w:name w:val="Index Heading"/>
    <w:basedOn w:val="Otsikko"/>
    <w:pPr/>
    <w:rPr/>
  </w:style>
  <w:style w:type="paragraph" w:styleId="Sisllysluettelonotsikko">
    <w:name w:val="TOC Heading"/>
    <w:basedOn w:val="Otsikko1"/>
    <w:next w:val="Normal"/>
    <w:uiPriority w:val="39"/>
    <w:semiHidden/>
    <w:unhideWhenUsed/>
    <w:qFormat/>
    <w:rsid w:val="0093681f"/>
    <w:pPr>
      <w:numPr>
        <w:ilvl w:val="0"/>
        <w:numId w:val="0"/>
      </w:numPr>
      <w:spacing w:before="240" w:after="0"/>
      <w:ind w:left="360" w:hanging="0"/>
      <w:outlineLvl w:val="9"/>
    </w:pPr>
    <w:rPr>
      <w:rFonts w:ascii="Calibri Light" w:hAnsi="Calibri Light" w:cs="" w:asciiTheme="majorHAnsi" w:cstheme="majorBidi" w:hAnsiTheme="majorHAnsi"/>
      <w:b w:val="false"/>
      <w:bCs w:val="false"/>
      <w:caps w:val="false"/>
      <w:smallCaps w:val="false"/>
      <w:color w:val="2E74B5" w:themeColor="accent1" w:themeShade="bf"/>
      <w:sz w:val="32"/>
      <w:szCs w:val="32"/>
    </w:rPr>
  </w:style>
  <w:style w:type="paragraph" w:styleId="Lopputervehdys">
    <w:name w:val="Salutation"/>
    <w:basedOn w:val="Normal"/>
    <w:next w:val="Normal"/>
    <w:link w:val="SalutationChar"/>
    <w:uiPriority w:val="99"/>
    <w:semiHidden/>
    <w:unhideWhenUsed/>
    <w:rsid w:val="0093681f"/>
    <w:pPr/>
    <w:rPr/>
  </w:style>
  <w:style w:type="paragraph" w:styleId="PlainText">
    <w:name w:val="Plain Text"/>
    <w:basedOn w:val="Normal"/>
    <w:link w:val="PlainTextChar"/>
    <w:uiPriority w:val="99"/>
    <w:semiHidden/>
    <w:unhideWhenUsed/>
    <w:qFormat/>
    <w:rsid w:val="0093681f"/>
    <w:pPr/>
    <w:rPr>
      <w:rFonts w:ascii="Consolas" w:hAnsi="Consolas"/>
      <w:sz w:val="21"/>
      <w:szCs w:val="21"/>
    </w:rPr>
  </w:style>
  <w:style w:type="paragraph" w:styleId="NormalIndent">
    <w:name w:val="Normal Indent"/>
    <w:basedOn w:val="Normal"/>
    <w:uiPriority w:val="99"/>
    <w:semiHidden/>
    <w:unhideWhenUsed/>
    <w:qFormat/>
    <w:rsid w:val="0093681f"/>
    <w:pPr>
      <w:ind w:left="1304" w:hanging="0"/>
    </w:pPr>
    <w:rPr/>
  </w:style>
  <w:style w:type="paragraph" w:styleId="EmailSignature">
    <w:name w:val="E-mail Signature"/>
    <w:basedOn w:val="Normal"/>
    <w:link w:val="EmailSignatureChar"/>
    <w:uiPriority w:val="99"/>
    <w:semiHidden/>
    <w:unhideWhenUsed/>
    <w:qFormat/>
    <w:rsid w:val="0093681f"/>
    <w:pPr/>
    <w:rPr/>
  </w:style>
  <w:style w:type="paragraph" w:styleId="MessageHeader">
    <w:name w:val="Message Header"/>
    <w:basedOn w:val="Normal"/>
    <w:link w:val="MessageHeaderChar"/>
    <w:uiPriority w:val="99"/>
    <w:semiHidden/>
    <w:unhideWhenUsed/>
    <w:qFormat/>
    <w:rsid w:val="0093681f"/>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hAnsi="Calibri Light" w:eastAsia="" w:cs="" w:asciiTheme="majorHAnsi" w:cstheme="majorBidi" w:eastAsiaTheme="majorEastAsia" w:hAnsiTheme="majorHAnsi"/>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35c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ilmatieteenlaitos.fi/varoituks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67CFDA86AEB546B995319C9A74F280" ma:contentTypeVersion="14" ma:contentTypeDescription="Create a new document." ma:contentTypeScope="" ma:versionID="3d4bb4c84da482ce92726da16d339d5c">
  <xsd:schema xmlns:xsd="http://www.w3.org/2001/XMLSchema" xmlns:xs="http://www.w3.org/2001/XMLSchema" xmlns:p="http://schemas.microsoft.com/office/2006/metadata/properties" xmlns:ns3="d72376b9-004c-49c2-8b7d-5b7159359d27" xmlns:ns4="d58c94b0-a878-42c4-9372-751ee736ed47" targetNamespace="http://schemas.microsoft.com/office/2006/metadata/properties" ma:root="true" ma:fieldsID="9f627f5148928fc85e1ba33e0bf83f17" ns3:_="" ns4:_="">
    <xsd:import namespace="d72376b9-004c-49c2-8b7d-5b7159359d27"/>
    <xsd:import namespace="d58c94b0-a878-42c4-9372-751ee736ed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376b9-004c-49c2-8b7d-5b7159359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c94b0-a878-42c4-9372-751ee736e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C5083-E23A-495A-8597-B6902D748714}">
  <ds:schemaRefs>
    <ds:schemaRef ds:uri="http://schemas.openxmlformats.org/officeDocument/2006/bibliography"/>
  </ds:schemaRefs>
</ds:datastoreItem>
</file>

<file path=customXml/itemProps2.xml><?xml version="1.0" encoding="utf-8"?>
<ds:datastoreItem xmlns:ds="http://schemas.openxmlformats.org/officeDocument/2006/customXml" ds:itemID="{33DBEFD6-59DE-4B4B-8540-7AA1646FF45F}">
  <ds:schemaRefs>
    <ds:schemaRef ds:uri="http://schemas.microsoft.com/office/2006/metadata/properties"/>
    <ds:schemaRef ds:uri="http://schemas.microsoft.com/office/2006/documentManagement/types"/>
    <ds:schemaRef ds:uri="d72376b9-004c-49c2-8b7d-5b7159359d27"/>
    <ds:schemaRef ds:uri="d58c94b0-a878-42c4-9372-751ee736ed47"/>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500FEA-0251-4DD2-A366-9001EDCC1E23}">
  <ds:schemaRefs>
    <ds:schemaRef ds:uri="http://schemas.microsoft.com/sharepoint/v3/contenttype/forms"/>
  </ds:schemaRefs>
</ds:datastoreItem>
</file>

<file path=customXml/itemProps4.xml><?xml version="1.0" encoding="utf-8"?>
<ds:datastoreItem xmlns:ds="http://schemas.openxmlformats.org/officeDocument/2006/customXml" ds:itemID="{55703C4E-48C0-4375-B75C-F9C977AD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376b9-004c-49c2-8b7d-5b7159359d27"/>
    <ds:schemaRef ds:uri="d58c94b0-a878-42c4-9372-751ee736e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Application>LibreOffice/7.3.7.2$Windows_X86_64 LibreOffice_project/e114eadc50a9ff8d8c8a0567d6da8f454beeb84f</Application>
  <AppVersion>15.0000</AppVersion>
  <Pages>16</Pages>
  <Words>2304</Words>
  <Characters>19211</Characters>
  <CharactersWithSpaces>21265</CharactersWithSpaces>
  <Paragraphs>294</Paragraphs>
  <Company>City of Helsinki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2022-02-07T20:00:00Z</dcterms:created>
  <dc:creator>Koski Juha-Pekka</dc:creator>
  <dc:description/>
  <dc:language>fi-FI</dc:language>
  <cp:lastModifiedBy>Luhtasaari, Juhani</cp:lastModifiedBy>
  <cp:lastPrinted>2020-10-29T10:08:00Z</cp:lastPrinted>
  <dcterms:modified xsi:type="dcterms:W3CDTF">2023-01-09T07:52:00Z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0x010100DF67CFDA86AEB546B995319C9A74F280</vt:lpwstr>
  </property>
</Properties>
</file>